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F822FD" w:rsidRPr="00F822FD" w14:paraId="632ACFD8" w14:textId="77777777" w:rsidTr="00F822F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2"/>
              <w:gridCol w:w="2930"/>
              <w:gridCol w:w="2927"/>
            </w:tblGrid>
            <w:tr w:rsidR="00F822FD" w:rsidRPr="00F822FD" w14:paraId="5D0B5BF9" w14:textId="77777777">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14:paraId="4461B1B7" w14:textId="77777777" w:rsidR="00F822FD" w:rsidRPr="00F822FD" w:rsidRDefault="00F822FD" w:rsidP="00F822FD">
                  <w:pPr>
                    <w:spacing w:after="0" w:line="360" w:lineRule="auto"/>
                    <w:rPr>
                      <w:rFonts w:ascii="Times New Roman" w:eastAsia="Times New Roman" w:hAnsi="Times New Roman" w:cs="Times New Roman"/>
                      <w:sz w:val="24"/>
                      <w:szCs w:val="24"/>
                      <w:lang w:eastAsia="tr-TR"/>
                    </w:rPr>
                  </w:pPr>
                  <w:r w:rsidRPr="00F822FD">
                    <w:rPr>
                      <w:rFonts w:ascii="Arial" w:eastAsia="Times New Roman" w:hAnsi="Arial" w:cs="Arial"/>
                      <w:sz w:val="16"/>
                      <w:szCs w:val="16"/>
                      <w:lang w:eastAsia="tr-TR"/>
                    </w:rPr>
                    <w:t>26 Aralık 2007 ÇARŞAMBA</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14:paraId="72EB9D35" w14:textId="77777777" w:rsidR="00F822FD" w:rsidRPr="00F822FD" w:rsidRDefault="00F822FD" w:rsidP="00F822FD">
                  <w:pPr>
                    <w:spacing w:after="0" w:line="360" w:lineRule="auto"/>
                    <w:jc w:val="center"/>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color w:val="660066"/>
                      <w:sz w:val="24"/>
                      <w:szCs w:val="24"/>
                      <w:lang w:eastAsia="tr-TR"/>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14:paraId="53FAF164" w14:textId="77777777" w:rsidR="00F822FD" w:rsidRPr="00F822FD" w:rsidRDefault="00F822FD" w:rsidP="00F822FD">
                  <w:pPr>
                    <w:spacing w:before="100" w:beforeAutospacing="1" w:after="100" w:afterAutospacing="1" w:line="360" w:lineRule="auto"/>
                    <w:jc w:val="right"/>
                    <w:rPr>
                      <w:rFonts w:ascii="Times New Roman" w:eastAsia="Times New Roman" w:hAnsi="Times New Roman" w:cs="Times New Roman"/>
                      <w:sz w:val="24"/>
                      <w:szCs w:val="24"/>
                      <w:lang w:eastAsia="tr-TR"/>
                    </w:rPr>
                  </w:pPr>
                  <w:r w:rsidRPr="00F822FD">
                    <w:rPr>
                      <w:rFonts w:ascii="Arial" w:eastAsia="Times New Roman" w:hAnsi="Arial" w:cs="Arial"/>
                      <w:sz w:val="16"/>
                      <w:szCs w:val="16"/>
                      <w:lang w:eastAsia="tr-TR"/>
                    </w:rPr>
                    <w:t>Sayı : 26738</w:t>
                  </w:r>
                </w:p>
              </w:tc>
            </w:tr>
            <w:tr w:rsidR="00F822FD" w:rsidRPr="00F822FD" w14:paraId="45A97322" w14:textId="77777777">
              <w:trPr>
                <w:trHeight w:val="480"/>
                <w:jc w:val="center"/>
              </w:trPr>
              <w:tc>
                <w:tcPr>
                  <w:tcW w:w="8873" w:type="dxa"/>
                  <w:gridSpan w:val="3"/>
                  <w:tcMar>
                    <w:top w:w="0" w:type="dxa"/>
                    <w:left w:w="108" w:type="dxa"/>
                    <w:bottom w:w="0" w:type="dxa"/>
                    <w:right w:w="108" w:type="dxa"/>
                  </w:tcMar>
                  <w:vAlign w:val="center"/>
                  <w:hideMark/>
                </w:tcPr>
                <w:p w14:paraId="17D446B6" w14:textId="77777777" w:rsidR="00F822FD" w:rsidRPr="00F822FD" w:rsidRDefault="00F822FD" w:rsidP="00F822FD">
                  <w:pPr>
                    <w:spacing w:before="100" w:beforeAutospacing="1" w:after="100" w:afterAutospacing="1" w:line="360" w:lineRule="auto"/>
                    <w:jc w:val="center"/>
                    <w:rPr>
                      <w:rFonts w:ascii="Times New Roman" w:eastAsia="Times New Roman" w:hAnsi="Times New Roman" w:cs="Times New Roman"/>
                      <w:sz w:val="24"/>
                      <w:szCs w:val="24"/>
                      <w:lang w:eastAsia="tr-TR"/>
                    </w:rPr>
                  </w:pPr>
                  <w:r w:rsidRPr="00F822FD">
                    <w:rPr>
                      <w:rFonts w:ascii="Arial" w:eastAsia="Times New Roman" w:hAnsi="Arial" w:cs="Arial"/>
                      <w:b/>
                      <w:bCs/>
                      <w:color w:val="000080"/>
                      <w:sz w:val="18"/>
                      <w:szCs w:val="18"/>
                      <w:lang w:eastAsia="tr-TR"/>
                    </w:rPr>
                    <w:t>TEBLİĞ</w:t>
                  </w:r>
                </w:p>
              </w:tc>
            </w:tr>
          </w:tbl>
          <w:p w14:paraId="10B2AFFA" w14:textId="77777777" w:rsidR="00F822FD" w:rsidRPr="00F822FD" w:rsidRDefault="00F822FD" w:rsidP="00F822FD">
            <w:pPr>
              <w:spacing w:after="0" w:line="360" w:lineRule="auto"/>
              <w:ind w:firstLine="567"/>
              <w:jc w:val="both"/>
              <w:rPr>
                <w:rFonts w:ascii="New York" w:eastAsia="Times New Roman" w:hAnsi="New York" w:cs="Times New Roman"/>
                <w:u w:val="single"/>
                <w:lang w:eastAsia="tr-TR"/>
              </w:rPr>
            </w:pPr>
            <w:r w:rsidRPr="00F822FD">
              <w:rPr>
                <w:rFonts w:ascii="Times New Roman" w:eastAsia="Times New Roman" w:hAnsi="Times New Roman" w:cs="Times New Roman"/>
                <w:sz w:val="18"/>
                <w:szCs w:val="18"/>
                <w:u w:val="single"/>
                <w:lang w:eastAsia="tr-TR"/>
              </w:rPr>
              <w:t>Maliye Bakanlığından:</w:t>
            </w:r>
          </w:p>
          <w:p w14:paraId="3215CE62" w14:textId="77777777" w:rsidR="00F822FD" w:rsidRPr="00F822FD" w:rsidRDefault="00F822FD" w:rsidP="00F822FD">
            <w:pPr>
              <w:spacing w:before="60" w:after="60" w:line="360" w:lineRule="auto"/>
              <w:jc w:val="center"/>
              <w:rPr>
                <w:rFonts w:ascii="New York" w:eastAsia="Times New Roman" w:hAnsi="New York" w:cs="Times New Roman"/>
                <w:b/>
                <w:bCs/>
                <w:sz w:val="18"/>
                <w:szCs w:val="18"/>
                <w:lang w:eastAsia="tr-TR"/>
              </w:rPr>
            </w:pPr>
            <w:r w:rsidRPr="00F822FD">
              <w:rPr>
                <w:rFonts w:ascii="Times New Roman" w:eastAsia="Times New Roman" w:hAnsi="Times New Roman" w:cs="Times New Roman"/>
                <w:b/>
                <w:bCs/>
                <w:sz w:val="18"/>
                <w:szCs w:val="18"/>
                <w:lang w:eastAsia="tr-TR"/>
              </w:rPr>
              <w:t>KAMU İÇ KONTROL STANDARTLARI TEBLİĞİ</w:t>
            </w:r>
          </w:p>
          <w:p w14:paraId="099B40C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Bilindiği üzere, 10/12/2003 tarihli ve 5018 sayılı Kamu Mali Yönetimi ve Kontrol Kanununun Beşinci Kısmında "iç kontrol sistemi" düzenlenmiştir. Bu kısımda, iç kontrol sistemine ilişkin olarak; iç kontrolün tanımı ve amacı, kontrolün yapısı ve işleyişi, ön mali kontrol, mali hizmetler birimi, muhasebe hizmeti ve muhasebe yetkilisinin yetki ve sorumlulukları, muhasebe yetkilisinin nitelikleri ve atanması, iç denetim, iç denetçinin görevleri, iç denetçilerin nitelikleri ve atanması, iç denetim koordinasyon kurulu, iç denetim koordinasyon kurulunun görevleri hususlarına yer verilmiştir.</w:t>
            </w:r>
          </w:p>
          <w:p w14:paraId="2411989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5018 sayılı Kanunun 55 inci maddesinde iç kontrol,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bütünü" olarak</w:t>
            </w:r>
            <w:r>
              <w:rPr>
                <w:rFonts w:ascii="Times New Roman" w:eastAsia="Times New Roman" w:hAnsi="Times New Roman" w:cs="Times New Roman"/>
                <w:sz w:val="18"/>
                <w:szCs w:val="18"/>
                <w:lang w:eastAsia="tr-TR"/>
              </w:rPr>
              <w:t xml:space="preserve"> </w:t>
            </w:r>
            <w:r w:rsidRPr="00F822FD">
              <w:rPr>
                <w:rFonts w:ascii="Times New Roman" w:eastAsia="Times New Roman" w:hAnsi="Times New Roman" w:cs="Times New Roman"/>
                <w:sz w:val="18"/>
                <w:szCs w:val="18"/>
                <w:lang w:eastAsia="tr-TR"/>
              </w:rPr>
              <w:t xml:space="preserve"> tanımlanmıştır.</w:t>
            </w:r>
          </w:p>
          <w:p w14:paraId="5218BC51"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Kanunun 56 ncı maddesinde iç kontrolün amaçları;</w:t>
            </w:r>
          </w:p>
          <w:p w14:paraId="19FD3DE1"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Kamu gelir, gider, varlık ve yükümlülüklerinin etkili, ekonomik ve verimli bir şekilde yönetilmesini,</w:t>
            </w:r>
          </w:p>
          <w:p w14:paraId="233B9B0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Kamu idarelerinin kanunlara ve diğer düzenlemelere uygun olarak faaliyet göstermesini,</w:t>
            </w:r>
          </w:p>
          <w:p w14:paraId="40B767E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Her türlü malî karar ve işlemlerde usulsüzlük ve yolsuzluğun önlenmesini,</w:t>
            </w:r>
          </w:p>
          <w:p w14:paraId="57192B1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Karar oluşturmak ve izlemek için düzenli, zamanında ve güvenilir rapor ve bilgi edinilmesini,</w:t>
            </w:r>
          </w:p>
          <w:p w14:paraId="7B979B1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Varlıkların kötüye kullanılması ve israfını önlemek ve kayıplara karşı korunmasını, sağlamak olarak belirlenmiştir.</w:t>
            </w:r>
          </w:p>
          <w:p w14:paraId="0226FF2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Kanunun 57 nci maddesinde ise kamu idarelerinin malî yönetim ve kontrol sistemlerinin harcama birimleri, muhasebe ve malî hizmetler ile ön malî kontrol ve iç denetimden oluştuğu belirtilmiş, yeterli ve etkili bir kontrol sisteminin oluşturulabilmesi için;</w:t>
            </w:r>
          </w:p>
          <w:p w14:paraId="2D18588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Mesleki değerlere ve dürüst yönetim anlayışına sahip olunması,</w:t>
            </w:r>
          </w:p>
          <w:p w14:paraId="1A0A3F6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Malî yetki ve sorumlulukların bilgili ve yeterli yöneticilerle personele verilmesi,</w:t>
            </w:r>
          </w:p>
          <w:p w14:paraId="162FB1B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Belirlenmiş standartlara uyulmasının sağlanması,</w:t>
            </w:r>
          </w:p>
          <w:p w14:paraId="3EC12B5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Mevzuata aykırı faaliyetlerin önlenmesi,</w:t>
            </w:r>
          </w:p>
          <w:p w14:paraId="13A7B5F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 Kapsamlı bir yönetim anlayışı ile uygun bir çalışma ortamının ve saydamlığın sağlanması,</w:t>
            </w:r>
          </w:p>
          <w:p w14:paraId="23FCA20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bakımından ilgili idarelerin üst yöneticileri ile diğer yöneticileri tarafından görev, yetki ve sorumluluklar göz önünde bulundurulmak suretiyle gerekli önlemlerin alınması öngörülmüştür.</w:t>
            </w:r>
          </w:p>
          <w:p w14:paraId="2DE052C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Kanunun 11 inci maddesinde, üst yöneticilerin, mali yönetim ve kontrol sisteminin işleyişinin gözetilmesi, izlenmesi ve Kanunda belirtilen görev ve sorumlulukların yerine getirilmesinden sorumlu oldukları ve bu sorumluluğun gereklerini harcama yetkilileri, mali hizmetler birimi ve iç denetçiler aracılığıyla yerine getirecekleri hükme bağlanmıştır.</w:t>
            </w:r>
          </w:p>
          <w:p w14:paraId="11D3DE7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Buna göre üst yöneticilere, iç kontrol sisteminin kurulması ve gözetilmesi, iç kontrol sisteminin bir gereği olarak yazılı prosedür ve talimatların oluşturulması gibi her türlü düzenlemelerin yapılması, harcama yetkililerine ise görev ve yetki alanları çerçevesinde, idari ve malî karar ve işlemlere ilişkin olarak iç kontrolün işleyişini sağlama sorumluluğu verilmiş bulunmaktadır.</w:t>
            </w:r>
          </w:p>
          <w:p w14:paraId="080ACDC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xml:space="preserve">             Kanunun 60, 61, 63 ve 64 üncü maddelerinde, mali hizmetler birimleri, muhasebe yetkilileri ve iç denetçilerin iç kontrol alanındaki görev ve sorumluluklarına yer verilmiştir. Buna göre; mali hizmetler birimleri, idarenin iç kontrol sisteminin kurulması, standartlarının uygulanması ve geliştirilmesi konularında çalışmalar yapmak ve ön mali kontrol faaliyetini yürütmekten, muhasebe yetkilileri, ödeme emri belgesi ve eklerinin kontrolünden, muhasebe işlemlerinin belirlenmiş standartlara ve usulüne uygun olarak kaydedilmesinden, raporlanmasından, muhafazasından ve denetime hazır </w:t>
            </w:r>
            <w:r w:rsidRPr="00F822FD">
              <w:rPr>
                <w:rFonts w:ascii="Times New Roman" w:eastAsia="Times New Roman" w:hAnsi="Times New Roman" w:cs="Times New Roman"/>
                <w:sz w:val="18"/>
                <w:szCs w:val="18"/>
                <w:lang w:eastAsia="tr-TR"/>
              </w:rPr>
              <w:lastRenderedPageBreak/>
              <w:t>halde bulundurulmasından, iç denetçiler ise idarelerin iç kontrol sistemlerinin denetlenmesinden ve geliştirilmesi yönünde önerilerde bulunulmasından sorumludurlar.</w:t>
            </w:r>
          </w:p>
          <w:p w14:paraId="218534D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Kanunun 55 inci maddesinin ikinci fıkrasında, "Görev ve yetkileri çerçevesinde, mali yönetim ve iç kontrol süreçlerine ilişkin standart ve yöntemler Maliye Bakanlığınca, iç denetime ilişkin standart ve yöntemler ise İç Denetim Koordinasyon Kurulu tarafından belirlenir, geliştirilir ve uyumlaştırılır. Bunlar ayrıca sistemlerin koordinasyonunu sağlar ve kamu idarelerine rehberlik hizmeti verir" hükmü yer almaktadır. Buna göre, İç Denetim Koordinasyon Kurulunun 20.11.2006 tarihli ve (12) sayılı kararı ile Kamu İç Denetim Standartları belirlenmiş bulunmaktadır. Kamu İç Kontrol Standartları ise COSO modeli, INTOSAI Kamu Sektörü İç Kontrol Standartları Rehberi ve Avrupa Birliği İç Kontrol Standartları çerçevesinde Maliye Bakanlığı tarafından belirlenmiştir.</w:t>
            </w:r>
          </w:p>
          <w:p w14:paraId="0E49FFD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Bilindiği üzere, 31.12.2005 tarihli ve 26040 (3. mükerrer) sayılı Resmî Gazete’de yayımlanan İç Kontrol ve Ön Mali Kontrole İlişkin Usul ve Esasların "İç kontrol standartları" başlıklı 5 inci maddesinde, iç kontrol standartlarının, merkezi uyumlaştırma görevi çerçevesinde Maliye Bakanlığı tarafından belirlenip yayımlanacağı, kamu idarelerinin malî ve malî olmayan tüm işlemlerinde bu standartlara uymakla ve gereğini yerine getirmekle yükümlü bulunduğu, Kanuna ve iç kontrol standartlarına aykırı olmamak koşuluyla, idarelerce, görev alanları çerçevesinde her türlü yöntem, süreç ve özellikli işlemlere ilişkin standartlar belirlenebileceği belirtilmiştir.</w:t>
            </w:r>
          </w:p>
          <w:p w14:paraId="47E9AB9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çerçevede, kamu idareleri tarafından görev alanları çerçevesinde her türlü yöntem, süreç ve özellikli işlemlere ilişkin olarak belirlenebilecek ayrıntılı standartlar, 5018 sayılı Kanuna, ilgili diğer mevzuata ve Kamu İç Kontrol Standartlarına uygun olmak ve idareye münhasır spesifik süreçlere ilişkin olmak zorundadır. İdarelerce gerek görülmesi halinde hazırlanabilecek İdare Ayrıntılı İç Kontrol Standartları, idarelerin yasal ve idari yapıları ile personel ve mali durumları gibi her bir idarenin kendine özgü koşulları dikkate alınarak katılımcı yöntemlerle belirlenecek ve üst yönetici onayını izleyen 10 işgünü içinde Maliye Bakanlığına gönderilecektir.</w:t>
            </w:r>
          </w:p>
          <w:p w14:paraId="6A694FD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Kamu idarelerinin, iç kontrol sistemlerinin Kamu İç Kontrol Standartlarına uyumunu sağlamak üzere; yapılması gereken çalışmaların belirlenmesi, bu çalışmalar için eylem planı oluşturulması, gerekli prosedürler ve ilgili düzenlemelerin hazırlanması çalışmalarını yürütmeleri ve bu çalışmaları en geç 31.12.2008 tarihine kadar tamamlamaları gerekmektedir. Söz konusu çalışmaların etkili bir şekilde ve zamanında yürütülmesini sağlamak üzere, idarelerin üst yöneticileri tarafından gerekli önlemler alınacaktır.</w:t>
            </w:r>
          </w:p>
          <w:p w14:paraId="6528F8F1"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Diğer taraftan, 26.5.2006 tarihli ve 26179 sayılı Resmî Gazete’de yayımlanan Kamu İdarelerinde Stratejik Planlamaya İlişkin Usul ve Esaslar Hakkında Yönetmelikle belirlenen geçiş takvimi uyarınca, 2008 ve sonraki yıllarda stratejik plan ve performans programı hazırlayacak idareler, hazırlık çalışmalarında bunlara ilişkin standartları da dikkate alacaklardır. Stratejik plan ve performans programı hazırlamayacak kamu idareleri ise bu plan ve programların hazırlanması dışında kalan hususlara uyum sağlayacaklardır.</w:t>
            </w:r>
          </w:p>
          <w:p w14:paraId="6FE32FD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Tebliğ olunur.</w:t>
            </w:r>
          </w:p>
          <w:p w14:paraId="79AEE90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w:t>
            </w:r>
          </w:p>
          <w:p w14:paraId="462D911F" w14:textId="77777777" w:rsidR="00F822FD" w:rsidRPr="00F822FD" w:rsidRDefault="00F822FD" w:rsidP="00F822FD">
            <w:pPr>
              <w:spacing w:after="0" w:line="360" w:lineRule="auto"/>
              <w:jc w:val="center"/>
              <w:rPr>
                <w:rFonts w:ascii="New York" w:eastAsia="Times New Roman" w:hAnsi="New York" w:cs="Times New Roman"/>
                <w:b/>
                <w:bCs/>
                <w:sz w:val="18"/>
                <w:szCs w:val="18"/>
                <w:lang w:eastAsia="tr-TR"/>
              </w:rPr>
            </w:pPr>
            <w:r w:rsidRPr="00F822FD">
              <w:rPr>
                <w:rFonts w:ascii="Times New Roman" w:eastAsia="Times New Roman" w:hAnsi="Times New Roman" w:cs="Times New Roman"/>
                <w:b/>
                <w:bCs/>
                <w:sz w:val="18"/>
                <w:szCs w:val="18"/>
                <w:lang w:eastAsia="tr-TR"/>
              </w:rPr>
              <w:t>KAMU İÇ KONTROL STANDARTLARI</w:t>
            </w:r>
          </w:p>
          <w:p w14:paraId="5D25304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Kamu İç Kontrol Standartları, idarelerin, iç kontrol sistemlerinin oluşturulmasında, izlenmesinde ve değerlendirilmesinde dikkate almaları gereken temel yönetim kurallarını göstermekte ve tüm kamu idarelerinde tutarlı, kapsamlı ve standart bir kontrol sisteminin kurulmasını ve uygulanmasını amaçlamaktadır.</w:t>
            </w:r>
          </w:p>
          <w:p w14:paraId="76BAABD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Kamu İç Kontrol Standartları, uluslararası standartlar ve iyi uygulama örnekleri çerçevesinde, iç kontrolün; kontrol ortamı, risk değerlendirmesi, kontrol faaliyetleri, bilgi ve iletişim ile izleme bileşenleri esas alınarak, tüm kamu idarelerinde uygulanabilir düzeyde olmasını sağlamak üzere genel nitelikte düzenlenmiştir.</w:t>
            </w:r>
          </w:p>
          <w:p w14:paraId="3DEB2EE9" w14:textId="77777777" w:rsidR="00031677" w:rsidRDefault="00F822FD" w:rsidP="00F822FD">
            <w:pPr>
              <w:spacing w:after="0" w:line="360" w:lineRule="auto"/>
              <w:jc w:val="both"/>
              <w:rPr>
                <w:rFonts w:ascii="Times New Roman" w:eastAsia="Times New Roman" w:hAnsi="Times New Roman" w:cs="Times New Roman"/>
                <w:b/>
                <w:bCs/>
                <w:color w:val="FF0000"/>
                <w:sz w:val="24"/>
                <w:szCs w:val="24"/>
                <w:lang w:eastAsia="tr-TR"/>
              </w:rPr>
            </w:pPr>
            <w:r w:rsidRPr="0056064C">
              <w:rPr>
                <w:rFonts w:ascii="Times New Roman" w:eastAsia="Times New Roman" w:hAnsi="Times New Roman" w:cs="Times New Roman"/>
                <w:b/>
                <w:bCs/>
                <w:color w:val="FF0000"/>
                <w:sz w:val="24"/>
                <w:szCs w:val="24"/>
                <w:lang w:eastAsia="tr-TR"/>
              </w:rPr>
              <w:t>        </w:t>
            </w:r>
          </w:p>
          <w:p w14:paraId="222364C0" w14:textId="77777777" w:rsidR="00031677" w:rsidRDefault="00031677" w:rsidP="00F822FD">
            <w:pPr>
              <w:spacing w:after="0" w:line="360" w:lineRule="auto"/>
              <w:jc w:val="both"/>
              <w:rPr>
                <w:rFonts w:ascii="Times New Roman" w:eastAsia="Times New Roman" w:hAnsi="Times New Roman" w:cs="Times New Roman"/>
                <w:b/>
                <w:bCs/>
                <w:color w:val="FF0000"/>
                <w:sz w:val="24"/>
                <w:szCs w:val="24"/>
                <w:lang w:eastAsia="tr-TR"/>
              </w:rPr>
            </w:pPr>
          </w:p>
          <w:p w14:paraId="2B9A742B" w14:textId="77777777" w:rsidR="00031677" w:rsidRDefault="00031677" w:rsidP="00F822FD">
            <w:pPr>
              <w:spacing w:after="0" w:line="360" w:lineRule="auto"/>
              <w:jc w:val="both"/>
              <w:rPr>
                <w:rFonts w:ascii="Times New Roman" w:eastAsia="Times New Roman" w:hAnsi="Times New Roman" w:cs="Times New Roman"/>
                <w:b/>
                <w:bCs/>
                <w:color w:val="FF0000"/>
                <w:sz w:val="24"/>
                <w:szCs w:val="24"/>
                <w:lang w:eastAsia="tr-TR"/>
              </w:rPr>
            </w:pPr>
          </w:p>
          <w:p w14:paraId="7260892A" w14:textId="42DCCC67" w:rsidR="00F822FD" w:rsidRPr="0056064C" w:rsidRDefault="00F822FD" w:rsidP="00F822FD">
            <w:pPr>
              <w:spacing w:after="0" w:line="360" w:lineRule="auto"/>
              <w:jc w:val="both"/>
              <w:rPr>
                <w:rFonts w:ascii="Times New Roman" w:eastAsia="Times New Roman" w:hAnsi="Times New Roman" w:cs="Times New Roman"/>
                <w:color w:val="FF0000"/>
                <w:sz w:val="24"/>
                <w:szCs w:val="24"/>
                <w:lang w:eastAsia="tr-TR"/>
              </w:rPr>
            </w:pPr>
            <w:r w:rsidRPr="0056064C">
              <w:rPr>
                <w:rFonts w:ascii="Times New Roman" w:eastAsia="Times New Roman" w:hAnsi="Times New Roman" w:cs="Times New Roman"/>
                <w:b/>
                <w:bCs/>
                <w:color w:val="FF0000"/>
                <w:sz w:val="24"/>
                <w:szCs w:val="24"/>
                <w:lang w:eastAsia="tr-TR"/>
              </w:rPr>
              <w:t>1. KONTROL ORTAMI STANDARTLARI</w:t>
            </w:r>
          </w:p>
          <w:p w14:paraId="7C7AF38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Kontrol ortamı, iç kontrolün diğer unsurlarına temel teşkil eden genel bir çerçeve olup, kişisel ve mesleki dürüstlük, yönetim ve personelin etik değerleri, iç kontrole yönelik destekleyici tutum, mesleki yeterlilik, organizasyonel yapı, insan kaynakları politikaları ve uygulamaları ile yönetim felsefesi ve iş yapma tarzına ilişkin hususları kapsar.</w:t>
            </w:r>
          </w:p>
          <w:p w14:paraId="13DDC28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w:t>
            </w:r>
            <w:r w:rsidRPr="00F822FD">
              <w:rPr>
                <w:rFonts w:ascii="Times New Roman" w:eastAsia="Times New Roman" w:hAnsi="Times New Roman" w:cs="Times New Roman"/>
                <w:b/>
                <w:bCs/>
                <w:sz w:val="18"/>
                <w:szCs w:val="18"/>
                <w:lang w:eastAsia="tr-TR"/>
              </w:rPr>
              <w:t>Standart: 1. Etik Değerler ve Dürüstlük</w:t>
            </w:r>
          </w:p>
          <w:p w14:paraId="3D7CCDA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Personel davranışlarını belirleyen kuralların personel tarafından bilinmesi sağlanmalıdır.</w:t>
            </w:r>
          </w:p>
          <w:p w14:paraId="77EB196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113A36B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1.1. İç kontrol sistemi ve işleyişi yönetici ve personel tarafından sahiplenilmeli ve desteklenmelidir.</w:t>
            </w:r>
          </w:p>
          <w:p w14:paraId="0151200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1.2. İdarenin yöneticileri iç kontrol sisteminin uygulanmasında personele örnek</w:t>
            </w:r>
          </w:p>
          <w:p w14:paraId="2045C24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olmalıdırlar.</w:t>
            </w:r>
          </w:p>
          <w:p w14:paraId="2F3BA1B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1.3. Etik kurallar bilinmeli ve tüm faaliyetlerde bu kurallara uyulmalıdır.</w:t>
            </w:r>
          </w:p>
          <w:p w14:paraId="1DB7F97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1.4. Faaliyetlerde dürüstlük, saydamlık ve hesap verebilirlik sağlanmalıdır.</w:t>
            </w:r>
          </w:p>
          <w:p w14:paraId="35E9C50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1.5. İdarenin personeline ve hizmet verilenlere adil ve eşit davranılmalıdır.</w:t>
            </w:r>
          </w:p>
          <w:p w14:paraId="64384C4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1.6. İdarenin faaliyetlerine ilişkin tüm bilgi ve belgeler doğru, tam ve güvenilir</w:t>
            </w:r>
          </w:p>
          <w:p w14:paraId="5ED276A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olmalıdır.</w:t>
            </w:r>
          </w:p>
          <w:p w14:paraId="4B1F26C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2. Misyon, organizasyon yapısı ve görevler</w:t>
            </w:r>
          </w:p>
          <w:p w14:paraId="05209EE1"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İdarelerin misyonu ile birimlerin ve personelin görev tanımları yazılı olarak belirlenmeli, personele duyurulmalı ve idarede uygun bir organizasyon yapısı oluşturulmalıdır.</w:t>
            </w:r>
          </w:p>
          <w:p w14:paraId="4F7BE2B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5EB69E6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2.1. İdarenin misyonu yazılı olarak belirlenmeli, duyurulmalı ve personel tarafından benimsenmesi sağlanmalıdır.</w:t>
            </w:r>
          </w:p>
          <w:p w14:paraId="1EE7367A"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2.2. Misyonun gerçekleştirilmesini sağlamak üzere idare birimleri ve alt birimlerince yürütülecek görevler yazılı olarak tanımlanmalı ve duyurulmalıdır.</w:t>
            </w:r>
          </w:p>
          <w:p w14:paraId="2721992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2.3. İdare birimlerinde personelin görevlerini ve bu görevlere ilişkin yetki ve sorumluluklarını kapsayan görev dağılım çizelgesi oluşturulmalı ve personele bildirilmelidir.</w:t>
            </w:r>
          </w:p>
          <w:p w14:paraId="4EFC19F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2.4. İdarenin ve birimlerinin teşkilat şeması olmalı ve buna bağlı olarak fonksiyonel görev dağılımı belirlenmelidir.</w:t>
            </w:r>
          </w:p>
          <w:p w14:paraId="387C310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2.5. İdarenin ve birimlerinin organizasyon yapısı, temel yetki ve sorumluluk dağılımı, hesap verebilirlik ve uygun raporlama ilişkisini gösterecek şekilde olmalıdır.</w:t>
            </w:r>
          </w:p>
          <w:p w14:paraId="0F71CAC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2.6. İdarenin yöneticileri, faaliyetlerin yürütülmesinde hassas görevlere ilişkin prosedürleri belirlemeli ve personele duyurmalıdır.</w:t>
            </w:r>
          </w:p>
          <w:p w14:paraId="1B7C5FED"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2.7. Her düzeydeki yöneticiler verilen görevlerin sonucunu izlemeye yönelik mekanizmalar oluşturmalıdır.</w:t>
            </w:r>
          </w:p>
          <w:p w14:paraId="0D78CCB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3. Personelin yeterliliği ve performansı</w:t>
            </w:r>
          </w:p>
          <w:p w14:paraId="6E520BC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personelin yeterliliği ve görevleri arasındaki uyumu sağlamalı, performansın değerlendirilmesi ve geliştirilmesine yönelik önlemler almalıdır.</w:t>
            </w:r>
          </w:p>
          <w:p w14:paraId="5C9AAAD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3498899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3.1. İnsan kaynakları yönetimi, idarenin amaç ve hedeflerinin gerçekleşmesini sağlamaya yönelik olmalıdır.</w:t>
            </w:r>
          </w:p>
          <w:p w14:paraId="5AE43CE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3.2. İdarenin yönetici ve personeli görevlerini etkin ve etkili bir şekilde yürütebilecek bilgi, deneyim ve yeteneğe sahip olmalıdır.</w:t>
            </w:r>
          </w:p>
          <w:p w14:paraId="01004C5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3.3. Mesleki yeterliliğe önem verilmeli ve her görev için en uygun personel seçilmelidir.</w:t>
            </w:r>
          </w:p>
          <w:p w14:paraId="037DA63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3.4. Personelin işe alınması ile görevinde ilerleme ve yükselmesinde liyakat ilkesine uyulmalı ve bireysel performansı göz önünde bulundurulmalıdır.</w:t>
            </w:r>
          </w:p>
          <w:p w14:paraId="065D273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3.5. Her görev için gerekli eğitim ihtiyacı belirlenmeli, bu ihtiyacı giderecek eğitim faaliyetleri her yıl planlanarak yürütülmeli ve gerektiğinde güncellenmelidir.</w:t>
            </w:r>
          </w:p>
          <w:p w14:paraId="3EB6AC5A"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3.6. Personelin yeterliliği ve performansı bağlı olduğu yöneticisi tarafından en az yılda bir kez değerlendirilmeli ve değerlendirme sonuçları personel ile görüşülmelidir.</w:t>
            </w:r>
          </w:p>
          <w:p w14:paraId="00FECFD1"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3.7. Performans değerlendirmesine göre performansı yetersiz bulunan personelin performansını geliştirmeye yönelik önlemler alınmalı, yüksek performans gösteren personel için ödüllendirme mekanizmaları geliştirilmelidir.</w:t>
            </w:r>
          </w:p>
          <w:p w14:paraId="4A774224"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3.8. Personel istihdamı, yer değiştirme, üst görevlere atanma, eğitim, performans değerlendirmesi, özlük hakları gibi insan kaynakları yönetimine ilişkin önemli hususlar yazılı olarak belirlenmiş olmalı ve personele duyurulmalıdır.</w:t>
            </w:r>
          </w:p>
          <w:p w14:paraId="5C314847"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4. Yetki Devri</w:t>
            </w:r>
          </w:p>
          <w:p w14:paraId="69AEB1F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İdarelerde yetkiler ve yetki devrinin sınırları açıkça belirlenmeli ve yazılı olarak bildirilmelidir. Devredilen yetkinin önemi ve riski dikkate alınarak yetki devri yapılmalıdır.</w:t>
            </w:r>
          </w:p>
          <w:p w14:paraId="6DEF542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117D730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4.1. İş akış süreçlerindeki imza ve onay mercileri belirlenmeli ve personele duyurulmalıdır.</w:t>
            </w:r>
          </w:p>
          <w:p w14:paraId="14B2B96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4.2. Yetki devirleri, üst yönetici tarafından belirlenen esaslar çerçevesinde devredilen yetkinin sınırlarını gösterecek şekilde yazılı olarak belirlenmeli ve ilgililere bildirilmelidir.</w:t>
            </w:r>
          </w:p>
          <w:p w14:paraId="277E459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4.3. Yetki devri, devredilen yetkinin önemi ile uyumlu olmalıdır.</w:t>
            </w:r>
          </w:p>
          <w:p w14:paraId="32403754"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4.4. Yetki devredilen personel görevin gerektirdiği bilgi, deneyim ve yeteneğe sahip olmalıdır.</w:t>
            </w:r>
          </w:p>
          <w:p w14:paraId="64974EF4"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4.5. Yetki devredilen personel, yetkinin kullanımına ilişkin olarak belli dönemlerde yetki devredene bilgi vermeli, yetki devreden ise bu bilgiyi aramalıdır.</w:t>
            </w:r>
          </w:p>
          <w:p w14:paraId="7056FBB1" w14:textId="77777777" w:rsidR="00031677" w:rsidRDefault="00F822FD" w:rsidP="00F822FD">
            <w:pPr>
              <w:spacing w:after="0" w:line="360" w:lineRule="auto"/>
              <w:jc w:val="both"/>
              <w:rPr>
                <w:rFonts w:ascii="Times New Roman" w:eastAsia="Times New Roman" w:hAnsi="Times New Roman" w:cs="Times New Roman"/>
                <w:b/>
                <w:bCs/>
                <w:color w:val="FF0000"/>
                <w:sz w:val="24"/>
                <w:szCs w:val="24"/>
                <w:lang w:eastAsia="tr-TR"/>
              </w:rPr>
            </w:pPr>
            <w:r w:rsidRPr="0056064C">
              <w:rPr>
                <w:rFonts w:ascii="Times New Roman" w:eastAsia="Times New Roman" w:hAnsi="Times New Roman" w:cs="Times New Roman"/>
                <w:b/>
                <w:bCs/>
                <w:color w:val="FF0000"/>
                <w:sz w:val="24"/>
                <w:szCs w:val="24"/>
                <w:lang w:eastAsia="tr-TR"/>
              </w:rPr>
              <w:t>             </w:t>
            </w:r>
          </w:p>
          <w:p w14:paraId="1BBCE4BF" w14:textId="645D74CE" w:rsidR="00F822FD" w:rsidRPr="0056064C" w:rsidRDefault="00F822FD" w:rsidP="00F822FD">
            <w:pPr>
              <w:spacing w:after="0" w:line="360" w:lineRule="auto"/>
              <w:jc w:val="both"/>
              <w:rPr>
                <w:rFonts w:ascii="Times New Roman" w:eastAsia="Times New Roman" w:hAnsi="Times New Roman" w:cs="Times New Roman"/>
                <w:color w:val="FF0000"/>
                <w:sz w:val="24"/>
                <w:szCs w:val="24"/>
                <w:lang w:eastAsia="tr-TR"/>
              </w:rPr>
            </w:pPr>
            <w:r w:rsidRPr="0056064C">
              <w:rPr>
                <w:rFonts w:ascii="Times New Roman" w:eastAsia="Times New Roman" w:hAnsi="Times New Roman" w:cs="Times New Roman"/>
                <w:b/>
                <w:bCs/>
                <w:color w:val="FF0000"/>
                <w:sz w:val="24"/>
                <w:szCs w:val="24"/>
                <w:lang w:eastAsia="tr-TR"/>
              </w:rPr>
              <w:t>2. RİSK DEĞERLENDİRME STANDARTLARI</w:t>
            </w:r>
          </w:p>
          <w:p w14:paraId="38A041C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Risk değerlendirme, idarenin hedeflerinin gerçekleşmesini engelleyecek risklerin tanımlanması, analiz edilmesi ve gerekli önlemlerin belirlenmesi sürecidir.</w:t>
            </w:r>
          </w:p>
          <w:p w14:paraId="7707AF87"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5. Planlama ve Programlama</w:t>
            </w:r>
          </w:p>
          <w:p w14:paraId="7CE5B82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faaliyetlerini, amaç, hedef ve göstergelerini ve bunları gerçekleştirmek için ihtiyaç duydukları kaynakları içeren plan ve programlarını oluşturmalı ve duyurmalı, faaliyetlerinin plan ve programlara uygunluğunu sağlamalıdır.</w:t>
            </w:r>
          </w:p>
          <w:p w14:paraId="13D61EB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1864F9A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5.1. İdareler, misyon ve vizyonlarını oluşturmak, stratejik amaçlar ve ölçülebilir hedefler saptamak, performanslarını ölçmek, izlemek ve değerlendirmek amacıyla katılımcı yöntemlerle stratejik plan hazırlamalıdır.</w:t>
            </w:r>
          </w:p>
          <w:p w14:paraId="74CAEEE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5.2. İdareler, yürütecekleri program, faaliyet ve projeleri ile bunların kaynak ihtiyacını, performans hedef ve göstergelerini içeren performans programı hazırlamalıdır.</w:t>
            </w:r>
          </w:p>
          <w:p w14:paraId="283B452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5.3. İdareler, bütçelerini stratejik planlarına ve performans programlarına uygun olarak hazırlamalıdır.</w:t>
            </w:r>
          </w:p>
          <w:p w14:paraId="04D9603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5.4. Yöneticiler, faaliyetlerin ilgili mevzuat, stratejik plan ve performans programıyla belirlenen amaç ve hedeflere uygunluğunu sağlamalıdır.</w:t>
            </w:r>
          </w:p>
          <w:p w14:paraId="224CA61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5.5. Yöneticiler, görev alanları çerçevesinde idarenin hedeflerine uygun özel hedefler belirlemeli ve personeline duyurmalıdır.</w:t>
            </w:r>
          </w:p>
          <w:p w14:paraId="718BF20D"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5.6. İdarenin ve birimlerinin hedefleri, spesifik, ölçülebilir, ulaşılabilir, ilgili ve süreli olmalıdır.</w:t>
            </w:r>
          </w:p>
          <w:p w14:paraId="20D1E40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6. Risklerin belirlenmesi ve değerlendirilmesi</w:t>
            </w:r>
          </w:p>
          <w:p w14:paraId="2F2655A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sistemli bir şekilde analizler yaparak amaç ve hedeflerinin gerçekleşmesini engelleyebilecek iç ve dış riskleri tanımlayarak değerlendirmeli ve alınacak önlemleri belirlemelidir.</w:t>
            </w:r>
          </w:p>
          <w:p w14:paraId="6CB0074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38154B4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6.1. İdareler, her yıl sistemli bir şekilde amaç ve hedeflerine yönelik riskleri belirlemelidir.</w:t>
            </w:r>
          </w:p>
          <w:p w14:paraId="23F593B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6.2. Risklerin gerçekleşme olasılığı ve muhtemel etkileri yılda en az bir kez analiz edilmelidir.</w:t>
            </w:r>
          </w:p>
          <w:p w14:paraId="1F30EB2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6.3. Risklere karşı alınacak önlemler belirlenerek eylem planları oluşturulmalıdır.</w:t>
            </w:r>
          </w:p>
          <w:p w14:paraId="5EB1C19C" w14:textId="77777777" w:rsidR="00031677" w:rsidRDefault="00F822FD" w:rsidP="00F822FD">
            <w:pPr>
              <w:spacing w:after="0" w:line="360" w:lineRule="auto"/>
              <w:jc w:val="both"/>
              <w:rPr>
                <w:rFonts w:ascii="Times New Roman" w:eastAsia="Times New Roman" w:hAnsi="Times New Roman" w:cs="Times New Roman"/>
                <w:b/>
                <w:bCs/>
                <w:sz w:val="18"/>
                <w:szCs w:val="18"/>
                <w:lang w:eastAsia="tr-TR"/>
              </w:rPr>
            </w:pPr>
            <w:r w:rsidRPr="00F822FD">
              <w:rPr>
                <w:rFonts w:ascii="Times New Roman" w:eastAsia="Times New Roman" w:hAnsi="Times New Roman" w:cs="Times New Roman"/>
                <w:b/>
                <w:bCs/>
                <w:sz w:val="18"/>
                <w:szCs w:val="18"/>
                <w:lang w:eastAsia="tr-TR"/>
              </w:rPr>
              <w:t>         </w:t>
            </w:r>
          </w:p>
          <w:p w14:paraId="32B969C5" w14:textId="59F6734A" w:rsidR="00F822FD" w:rsidRPr="0056064C"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w:t>
            </w:r>
            <w:r w:rsidRPr="0056064C">
              <w:rPr>
                <w:rFonts w:ascii="Times New Roman" w:eastAsia="Times New Roman" w:hAnsi="Times New Roman" w:cs="Times New Roman"/>
                <w:b/>
                <w:bCs/>
                <w:color w:val="FF0000"/>
                <w:sz w:val="24"/>
                <w:szCs w:val="24"/>
                <w:lang w:eastAsia="tr-TR"/>
              </w:rPr>
              <w:t>3. KONTROL FAALİYETLERİ STANDARTLARI</w:t>
            </w:r>
          </w:p>
          <w:p w14:paraId="0E1B6C0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Kontrol faaliyetleri, idarenin hedeflerinin gerçekleştirilmesini sağlamak ve belirlenen riskleri yönetmek amacıyla oluşturulan politika ve prosedürlerdir.</w:t>
            </w:r>
          </w:p>
          <w:p w14:paraId="4D0D257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7. Kontrol stratejileri ve yöntemleri</w:t>
            </w:r>
          </w:p>
          <w:p w14:paraId="0C63DC11"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hedeflerine ulaşmayı amaçlayan ve riskleri karşılamaya uygun kontrol strateji ve yöntemlerini belirlemeli ve uygulamalıdır.</w:t>
            </w:r>
          </w:p>
          <w:p w14:paraId="6DFE3FB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4DDFD4A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7.1.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p w14:paraId="1EEEF8D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7.2. Kontroller, gerekli hallerde, işlem öncesi kontrol, süreç kontrolü ve işlem sonrası kontrolleri de kapsamalıdır.</w:t>
            </w:r>
          </w:p>
          <w:p w14:paraId="50CD43F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7.3. Kontrol faaliyetleri, varlıkların dönemsel kontrolünü ve güvenliğinin sağlanmasını kapsamalıdır.</w:t>
            </w:r>
          </w:p>
          <w:p w14:paraId="6DB46DB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7.4. Belirlenen kontrol yönteminin maliyeti beklenen faydayı aşmamalıdır.</w:t>
            </w:r>
          </w:p>
          <w:p w14:paraId="3DE1ADF1"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8. Prosedürlerin belirlenmesi ve belgelendirilmesi</w:t>
            </w:r>
          </w:p>
          <w:p w14:paraId="15DAD3B1"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faaliyetleri ile mali karar ve işlemleri için gerekli yazılı prosedürleri ve bu alanlara ilişkin düzenlemeleri hazırlamalı, güncellemeli ve ilgili personelin erişimine sunmalıdır.</w:t>
            </w:r>
          </w:p>
          <w:p w14:paraId="06F7D85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6D323294"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8.1. İdareler, faaliyetleri ile mali karar ve işlemleri hakkında yazılı prosedürler belirlemelidir.</w:t>
            </w:r>
          </w:p>
          <w:p w14:paraId="39CB367A"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8.2. Prosedürler ve ilgili dokümanlar, faaliyet veya mali karar ve işlemin başlaması, uygulanması ve sonuçlandırılması aşamalarını kapsamalıdır.</w:t>
            </w:r>
          </w:p>
          <w:p w14:paraId="43F5B09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8.3. Prosedürler ve ilgili dokümanlar, güncel, kapsamlı, mevzuata uygun ve ilgili personel tarafından anlaşılabilir ve ulaşılabilir olmalıdır.</w:t>
            </w:r>
          </w:p>
          <w:p w14:paraId="4383D177"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9. Görevler ayrılığı</w:t>
            </w:r>
          </w:p>
          <w:p w14:paraId="3307A8C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Hata, eksiklik, yanlışlık, usulsüzlük ve yolsuzluk risklerini azaltmak için faaliyetler ile mali karar ve işlemlerin onaylanması, uygulanması, kaydedilmesi ve kontrol edilmesi görevleri personel arasında paylaştırılmalıdır.</w:t>
            </w:r>
          </w:p>
          <w:p w14:paraId="47E3DA3A"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0B37B26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9.1. Her faaliyet veya mali karar ve işlemin onaylanması, uygulanması, kaydedilmesi ve kontrolü görevleri farklı kişilere verilmelidir.</w:t>
            </w:r>
          </w:p>
          <w:p w14:paraId="72C49A6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9.2. Personel sayısının yetersizliği nedeniyle görevler ayrılığı ilkesinin tam olarak uygulanamadığı idarelerin yöneticileri risklerin farkında olmalı ve gerekli önlemleri almalıdır.</w:t>
            </w:r>
          </w:p>
          <w:p w14:paraId="7B64FC1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10. Hiyerarşik kontroller</w:t>
            </w:r>
          </w:p>
          <w:p w14:paraId="6C2917D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Yöneticiler, iş ve işlemlerin prosedürlere uygunluğunu sistemli bir şekilde kontrol etmelidir.</w:t>
            </w:r>
          </w:p>
          <w:p w14:paraId="7F846034"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146BA7A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10.1. Yöneticiler, prosedürlerin etkili ve sürekli bir şekilde uygulanması için gerekli kontrolleri yapmalıdır.</w:t>
            </w:r>
          </w:p>
          <w:p w14:paraId="010B4F6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10.2. Yöneticiler, personelin iş ve işlemlerini izlemeli ve onaylamalı, hata ve usulsüzlüklerin giderilmesi için gerekli talimatları vermelidir.</w:t>
            </w:r>
          </w:p>
          <w:p w14:paraId="29F2739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11. Faaliyetlerin sürekliliği</w:t>
            </w:r>
          </w:p>
          <w:p w14:paraId="554A53A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faaliyetlerin sürekliliğini sağlamaya yönelik gerekli önlemleri almalıdır.</w:t>
            </w:r>
          </w:p>
          <w:p w14:paraId="1F774E0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3EF9080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11.1. Personel yetersizliği, geçici veya sürekli olarak görevden ayrılma, yeni bilgi sistemlerine geçiş, yöntem veya mevzuat değişiklikleri ile olağanüstü durumlar gibi faaliyetlerin sürekliliğini etkileyen nedenlere karşı gerekli önlemler alınmalıdır.</w:t>
            </w:r>
          </w:p>
          <w:p w14:paraId="72B507A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11.2. Gerekli hallerde usulüne uygun olarak vekil personel görevlendirilmelidir.</w:t>
            </w:r>
          </w:p>
          <w:p w14:paraId="25F42E3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11.3. Görevinden ayrılan personelin, iş veya işlemlerinin durumunu ve gerekli belgeleri de içeren bir rapor hazırlaması ve bu raporu görevlendirilen personele vermesi yönetici tarafından sağlanmalıdır.</w:t>
            </w:r>
          </w:p>
          <w:p w14:paraId="239EFBE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12. Bilgi sistemleri kontrolleri</w:t>
            </w:r>
          </w:p>
          <w:p w14:paraId="2533B98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bilgi sistemlerinin sürekliliğini ve güvenilirliğini sağlamak için gerekli kontrol mekanizmaları geliştirmelidir.</w:t>
            </w:r>
          </w:p>
          <w:p w14:paraId="4C60F7E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3F13824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12.1. Bilgi sistemlerinin sürekliliğini ve güvenilirliğini sağlayacak kontroller yazılı olarak belirlenmeli ve uygulanmalıdır.</w:t>
            </w:r>
          </w:p>
          <w:p w14:paraId="6A78E4E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12.2. Bilgi sistemine veri ve bilgi girişi ile bunlara erişim konusunda yetkilendirmeler yapılmalı, hata ve usulsüzlüklerin önlenmesi, tespit edilmesi ve düzeltilmesini sağlayacak mekanizmalar oluşturulmalıdır.</w:t>
            </w:r>
          </w:p>
          <w:p w14:paraId="3AF37F3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12.3. İdareler bilişim yönetişimini sağlayacak mekanizmalar geliştirmelidir.</w:t>
            </w:r>
          </w:p>
          <w:p w14:paraId="2CD86F0F" w14:textId="77777777" w:rsidR="0056064C" w:rsidRDefault="00F822FD" w:rsidP="00F822FD">
            <w:pPr>
              <w:spacing w:after="0" w:line="360" w:lineRule="auto"/>
              <w:jc w:val="both"/>
              <w:rPr>
                <w:rFonts w:ascii="Times New Roman" w:eastAsia="Times New Roman" w:hAnsi="Times New Roman" w:cs="Times New Roman"/>
                <w:b/>
                <w:bCs/>
                <w:sz w:val="18"/>
                <w:szCs w:val="18"/>
                <w:lang w:eastAsia="tr-TR"/>
              </w:rPr>
            </w:pPr>
            <w:r w:rsidRPr="00F822FD">
              <w:rPr>
                <w:rFonts w:ascii="Times New Roman" w:eastAsia="Times New Roman" w:hAnsi="Times New Roman" w:cs="Times New Roman"/>
                <w:b/>
                <w:bCs/>
                <w:sz w:val="18"/>
                <w:szCs w:val="18"/>
                <w:lang w:eastAsia="tr-TR"/>
              </w:rPr>
              <w:t>             </w:t>
            </w:r>
          </w:p>
          <w:p w14:paraId="2A633087" w14:textId="3F013844" w:rsidR="00F822FD" w:rsidRPr="0056064C" w:rsidRDefault="00F822FD" w:rsidP="00F822FD">
            <w:pPr>
              <w:spacing w:after="0" w:line="360" w:lineRule="auto"/>
              <w:jc w:val="both"/>
              <w:rPr>
                <w:rFonts w:ascii="Times New Roman" w:eastAsia="Times New Roman" w:hAnsi="Times New Roman" w:cs="Times New Roman"/>
                <w:color w:val="FF0000"/>
                <w:sz w:val="24"/>
                <w:szCs w:val="24"/>
                <w:lang w:eastAsia="tr-TR"/>
              </w:rPr>
            </w:pPr>
            <w:r w:rsidRPr="0056064C">
              <w:rPr>
                <w:rFonts w:ascii="Times New Roman" w:eastAsia="Times New Roman" w:hAnsi="Times New Roman" w:cs="Times New Roman"/>
                <w:b/>
                <w:bCs/>
                <w:color w:val="FF0000"/>
                <w:sz w:val="24"/>
                <w:szCs w:val="24"/>
                <w:lang w:eastAsia="tr-TR"/>
              </w:rPr>
              <w:t>4. BİLGİ VE İLETİŞİM STANDARTLARI</w:t>
            </w:r>
          </w:p>
          <w:p w14:paraId="3A496796"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Bilgi ve iletişim, gerekli bilginin ihtiyaç duyan kişi, personel ve yöneticiye belirli bir formatta ve ilgililerin iç kontrol ve diğer sorumluluklarını yerine getirmelerine imkan verecek bir zaman dilimi içinde iletilmesini sağlayacak bilgi, iletişim ve kayıt sistemini kapsar.</w:t>
            </w:r>
          </w:p>
          <w:p w14:paraId="2D17B657"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13. Bilgi ve iletişim</w:t>
            </w:r>
          </w:p>
          <w:p w14:paraId="01BB011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birimlerinin ve çalışanlarının performansının izlenebilmesi, karar alma süreçlerinin sağlıklı bir şekilde işleyebilmesi ve hizmet sunumunda etkinlik ve memnuniyetin sağlanması amacıyla uygun bir bilgi ve iletişim sistemine sahip olmalıdır.</w:t>
            </w:r>
          </w:p>
          <w:p w14:paraId="7E24E4B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6867C7E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13.1. İdarelerde, yatay ve dikey iç iletişim ile dış iletişimi kapsayan etkili ve sürekli bir bilgi ve iletişim sistemi olmalıdır.</w:t>
            </w:r>
          </w:p>
          <w:p w14:paraId="706DD8E3"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13.2. Yöneticiler ve personel, görevlerini yerine getirebilmeleri için gerekli ve yeterli bilgiye zamanında ulaşabilmelidir.</w:t>
            </w:r>
          </w:p>
          <w:p w14:paraId="41267E17"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13.3. Bilgiler doğru, güvenilir, tam, kullanışlı ve anlaşılabilir olmalıdır.</w:t>
            </w:r>
          </w:p>
          <w:p w14:paraId="7CC01B7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13.4. Yöneticiler ve ilgili personel, performans programı ve bütçenin uygulanması ile kaynak kullanımına ilişkin diğer bilgilere zamanında erişebilmelidir.</w:t>
            </w:r>
          </w:p>
          <w:p w14:paraId="70EB49C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13.5. Yönetim bilgi sistemi, yönetimin ihtiyaç duyduğu gerekli bilgileri ve raporları üretebilecek ve analiz yapma imkanı sunacak şekilde tasarlanmalıdır.</w:t>
            </w:r>
          </w:p>
          <w:p w14:paraId="0D7B0ABA"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13.6. Yöneticiler, idarenin misyon, vizyon ve amaçları çerçevesinde beklentilerini görev ve sorumlulukları kapsamında personele bildirmelidir.</w:t>
            </w:r>
          </w:p>
          <w:p w14:paraId="44573F8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13.7. İdarenin yatay ve dikey iletişim sistemi personelin değerlendirme, öneri ve sorunlarını iletebilmelerini sağlamalıdır.</w:t>
            </w:r>
          </w:p>
          <w:p w14:paraId="622D4CED"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14. Raporlama</w:t>
            </w:r>
          </w:p>
          <w:p w14:paraId="7EECF7F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İdarenin amaç, hedef, gösterge ve faaliyetleri ile sonuçları, saydamlık ve hesap verebilirlik ilkeleri doğrultusunda raporlanmalıdır.</w:t>
            </w:r>
          </w:p>
          <w:p w14:paraId="63F2813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69543927"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14.1. İdareler, her yıl, amaçları, hedefleri, stratejileri, varlıkları, yükümlülükleri ve performans programlarını kamuoyuna açıklamalıdır.</w:t>
            </w:r>
          </w:p>
          <w:p w14:paraId="5F217804"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14.2. İdareler, bütçelerinin ilk altı aylık uygulama sonuçları, ikinci altı aya ilişkin beklentiler ve hedefler ile faaliyetlerini kamuoyuna açıklamalıdır.</w:t>
            </w:r>
          </w:p>
          <w:p w14:paraId="22060C0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14.3. Faaliyet sonuçları ve değerlendirmeler idare faaliyet raporunda gösterilmeli ve duyurulmalıdır.</w:t>
            </w:r>
          </w:p>
          <w:p w14:paraId="5D08CCA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14.4. Faaliyetlerin gözetimi amacıyla idare içinde yatay ve dikey raporlama ağı yazılı olarak belirlenmeli, birim ve personel, görevleri ve faaliyetleriyle ilgili hazırlanması gereken raporlar hakkında bilgilendirilmelidir.</w:t>
            </w:r>
          </w:p>
          <w:p w14:paraId="359EECA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15. Kayıt ve dosyalama sistemi</w:t>
            </w:r>
          </w:p>
          <w:p w14:paraId="2CEA2E1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gelen ve giden her türlü evrak dahil iş ve işlemlerin kaydedildiği, sınıflandırıldığı ve dosyalandığı kapsamlı ve güncel bir sisteme sahip olmalıdır.</w:t>
            </w:r>
          </w:p>
          <w:p w14:paraId="2EF71D9F"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59381A8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15.1. Kayıt ve dosyalama sistemi, elektronik ortamdakiler dahil, gelen ve giden evrak ile idare içi haberleşmeyi kapsamalıdır.</w:t>
            </w:r>
          </w:p>
          <w:p w14:paraId="585D941D"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15.2. Kayıt ve dosyalama sistemi kapsamlı ve güncel olmalı, yönetici ve personel tarafından ulaşılabilir ve izlenebilir olmalıdır.</w:t>
            </w:r>
          </w:p>
          <w:p w14:paraId="190800C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15.3. Kayıt ve dosyalama sistemi, kişisel verilerin güvenliğini ve korunmasını sağlamalıdır.</w:t>
            </w:r>
          </w:p>
          <w:p w14:paraId="63132092"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15.4. Kayıt ve dosyalama sistemi belirlenmiş standartlara uygun olmalıdır.</w:t>
            </w:r>
          </w:p>
          <w:p w14:paraId="6FD55D0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15.5. Gelen ve giden evrak zamanında kaydedilmeli, standartlara uygun bir şekilde sınıflandırılmalı ve arşiv sistemine uygun olarak muhafaza edilmelidir.</w:t>
            </w:r>
          </w:p>
          <w:p w14:paraId="675F97A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15.6. İdarenin iş ve işlemlerinin kaydı, sınıflandırılması, korunması ve erişimini de kapsayan, belirlenmiş standartlara uygun arşiv ve dokümantasyon sistemi oluşturulmalıdır.</w:t>
            </w:r>
          </w:p>
          <w:p w14:paraId="594A037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16. Hata, usulsüzlük ve yolsuzlukların bildirilmesi</w:t>
            </w:r>
          </w:p>
          <w:p w14:paraId="0772BFC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hata, usulsüzlük ve yolsuzlukların belirlenen bir düzen içinde bildirilmesini sağlayacak yöntemler oluşturmalıdır.</w:t>
            </w:r>
          </w:p>
          <w:p w14:paraId="5832D6F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316E37C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16.1. Hata, usulsüzlük ve yolsuzlukların bildirim yöntemleri belirlenmeli ve duyurulmalıdır.</w:t>
            </w:r>
          </w:p>
          <w:p w14:paraId="6C5F541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16.2. Yöneticiler, bildirilen hata, usulsüzlük ve yolsuzluklar hakkında yeterli incelemeyi yapmalıdır.</w:t>
            </w:r>
          </w:p>
          <w:p w14:paraId="2028EA8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16.3. Hata, usulsüzlük ve yolsuzlukları bildiren personele haksız ve ayırımcı bir muamele yapılmamalıdır.</w:t>
            </w:r>
          </w:p>
          <w:p w14:paraId="358255AC" w14:textId="77777777" w:rsidR="00031677" w:rsidRDefault="00F822FD" w:rsidP="00F822FD">
            <w:pPr>
              <w:spacing w:after="0" w:line="360" w:lineRule="auto"/>
              <w:jc w:val="both"/>
              <w:rPr>
                <w:rFonts w:ascii="Times New Roman" w:eastAsia="Times New Roman" w:hAnsi="Times New Roman" w:cs="Times New Roman"/>
                <w:b/>
                <w:bCs/>
                <w:color w:val="FF0000"/>
                <w:sz w:val="24"/>
                <w:szCs w:val="24"/>
                <w:lang w:eastAsia="tr-TR"/>
              </w:rPr>
            </w:pPr>
            <w:r w:rsidRPr="0056064C">
              <w:rPr>
                <w:rFonts w:ascii="Times New Roman" w:eastAsia="Times New Roman" w:hAnsi="Times New Roman" w:cs="Times New Roman"/>
                <w:b/>
                <w:bCs/>
                <w:color w:val="FF0000"/>
                <w:sz w:val="24"/>
                <w:szCs w:val="24"/>
                <w:lang w:eastAsia="tr-TR"/>
              </w:rPr>
              <w:t>        </w:t>
            </w:r>
          </w:p>
          <w:p w14:paraId="5CBA8C5E" w14:textId="769E647F" w:rsidR="00F822FD" w:rsidRPr="0056064C" w:rsidRDefault="00F822FD" w:rsidP="00F822FD">
            <w:pPr>
              <w:spacing w:after="0" w:line="360" w:lineRule="auto"/>
              <w:jc w:val="both"/>
              <w:rPr>
                <w:rFonts w:ascii="Times New Roman" w:eastAsia="Times New Roman" w:hAnsi="Times New Roman" w:cs="Times New Roman"/>
                <w:color w:val="FF0000"/>
                <w:sz w:val="24"/>
                <w:szCs w:val="24"/>
                <w:lang w:eastAsia="tr-TR"/>
              </w:rPr>
            </w:pPr>
            <w:r w:rsidRPr="0056064C">
              <w:rPr>
                <w:rFonts w:ascii="Times New Roman" w:eastAsia="Times New Roman" w:hAnsi="Times New Roman" w:cs="Times New Roman"/>
                <w:b/>
                <w:bCs/>
                <w:color w:val="FF0000"/>
                <w:sz w:val="24"/>
                <w:szCs w:val="24"/>
                <w:lang w:eastAsia="tr-TR"/>
              </w:rPr>
              <w:t> 5. İZLEME STANDARTLARI</w:t>
            </w:r>
          </w:p>
          <w:p w14:paraId="7BA7E2FD" w14:textId="06294A93"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İzleme, iç kontrol sisteminin kalitesini değerlendirmek üzere yürütülen tüm izleme faaliyetlerini kapsar.</w:t>
            </w:r>
          </w:p>
          <w:p w14:paraId="72BBF2E0"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17. İç kontrolün değerlendirilmesi</w:t>
            </w:r>
          </w:p>
          <w:p w14:paraId="2F617C07"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iç kontrol sistemini yılda en az bir kez değerlendirmelidir.</w:t>
            </w:r>
          </w:p>
          <w:p w14:paraId="49DFEDBC"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2EB0334B"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17.1. İç kontrol sistemi, sürekli izleme veya özel bir değerlendirme yapma veya bu iki yöntem birlikte kullanılarak değerlendirilmelidir.</w:t>
            </w:r>
          </w:p>
          <w:p w14:paraId="38AC9099"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17.2. İç kontrolün eksik yönleri ile uygun olmayan kontrol yöntemlerinin belirlenmesi, bildirilmesi ve gerekli önlemlerin alınması konusunda süreç ve yöntem belirlenmelidir.</w:t>
            </w:r>
          </w:p>
          <w:p w14:paraId="4F341AF1"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17.3. İç kontrolün değerlendirilmesine idarenin birimlerinin katılımı sağlanmalıdır.</w:t>
            </w:r>
          </w:p>
          <w:p w14:paraId="1CFA75D5"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17.4. İç kontrolün değerlendirilmesinde, yöneticilerin görüşleri, kişi ve/veya idarelerin talep ve şikâyetleri ile iç ve dış denetim sonucunda düzenlenen raporlar dikkate alınmalıdır.</w:t>
            </w:r>
          </w:p>
          <w:p w14:paraId="4F871D8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17.5. İç kontrolün değerlendirilmesi sonucunda alınması gereken önlemler belirlenmeli ve bir eylem planı çerçevesinde uygulanmalıdır.</w:t>
            </w:r>
          </w:p>
          <w:p w14:paraId="0D84CA3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b/>
                <w:bCs/>
                <w:sz w:val="18"/>
                <w:szCs w:val="18"/>
                <w:lang w:eastAsia="tr-TR"/>
              </w:rPr>
              <w:t>             Standart: 18. İç denetim</w:t>
            </w:r>
          </w:p>
          <w:p w14:paraId="3A4F6C37"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İdareler fonksiyonel olarak bağımsız bir iç denetim faaliyetini sağlamalıdır.</w:t>
            </w:r>
          </w:p>
          <w:p w14:paraId="13F73C98"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Bu standart için gerekli genel şartlar:</w:t>
            </w:r>
          </w:p>
          <w:p w14:paraId="0EDC590E"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18.1. İç denetim faaliyeti İç Denetim Koordinasyon Kurulu tarafından belirlenen standartlara uygun bir şekilde yürütülmelidir.</w:t>
            </w:r>
          </w:p>
          <w:p w14:paraId="36512CA7" w14:textId="77777777" w:rsidR="00F822FD" w:rsidRPr="00F822FD" w:rsidRDefault="00F822FD" w:rsidP="00F822FD">
            <w:pPr>
              <w:spacing w:after="0" w:line="360" w:lineRule="auto"/>
              <w:jc w:val="both"/>
              <w:rPr>
                <w:rFonts w:ascii="Times New Roman" w:eastAsia="Times New Roman" w:hAnsi="Times New Roman" w:cs="Times New Roman"/>
                <w:sz w:val="24"/>
                <w:szCs w:val="24"/>
                <w:lang w:eastAsia="tr-TR"/>
              </w:rPr>
            </w:pPr>
            <w:r w:rsidRPr="00F822FD">
              <w:rPr>
                <w:rFonts w:ascii="Times New Roman" w:eastAsia="Times New Roman" w:hAnsi="Times New Roman" w:cs="Times New Roman"/>
                <w:sz w:val="18"/>
                <w:szCs w:val="18"/>
                <w:lang w:eastAsia="tr-TR"/>
              </w:rPr>
              <w:t>             18.2. İç denetim sonucunda idare tarafından alınması gerekli görülen önlemleri içeren eylem planı hazırlanmalı, uygulanmalı ve izlenmelidir.</w:t>
            </w:r>
          </w:p>
        </w:tc>
      </w:tr>
    </w:tbl>
    <w:p w14:paraId="7C746EC0" w14:textId="77777777" w:rsidR="00F822FD" w:rsidRPr="00F822FD" w:rsidRDefault="00F822FD" w:rsidP="00F822FD">
      <w:pPr>
        <w:spacing w:after="0" w:line="360" w:lineRule="auto"/>
        <w:rPr>
          <w:rFonts w:ascii="Times New Roman" w:eastAsia="Times New Roman" w:hAnsi="Times New Roman" w:cs="Times New Roman"/>
          <w:color w:val="000000"/>
          <w:sz w:val="27"/>
          <w:szCs w:val="27"/>
          <w:lang w:eastAsia="tr-TR"/>
        </w:rPr>
      </w:pPr>
      <w:r w:rsidRPr="00F822FD">
        <w:rPr>
          <w:rFonts w:ascii="Times New Roman" w:eastAsia="Times New Roman" w:hAnsi="Times New Roman" w:cs="Times New Roman"/>
          <w:color w:val="000000"/>
          <w:sz w:val="27"/>
          <w:szCs w:val="27"/>
          <w:lang w:eastAsia="tr-TR"/>
        </w:rPr>
        <w:lastRenderedPageBreak/>
        <w:t> </w:t>
      </w:r>
    </w:p>
    <w:p w14:paraId="19C9C16D" w14:textId="77777777" w:rsidR="002E1537" w:rsidRDefault="002E1537" w:rsidP="00F822FD">
      <w:pPr>
        <w:spacing w:line="360" w:lineRule="auto"/>
      </w:pPr>
    </w:p>
    <w:sectPr w:rsidR="002E1537" w:rsidSect="00F822FD">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A065" w14:textId="77777777" w:rsidR="0001409D" w:rsidRDefault="0001409D" w:rsidP="00F822FD">
      <w:pPr>
        <w:spacing w:after="0" w:line="240" w:lineRule="auto"/>
      </w:pPr>
      <w:r>
        <w:separator/>
      </w:r>
    </w:p>
  </w:endnote>
  <w:endnote w:type="continuationSeparator" w:id="0">
    <w:p w14:paraId="7AA62922" w14:textId="77777777" w:rsidR="0001409D" w:rsidRDefault="0001409D" w:rsidP="00F8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411892"/>
      <w:docPartObj>
        <w:docPartGallery w:val="Page Numbers (Bottom of Page)"/>
        <w:docPartUnique/>
      </w:docPartObj>
    </w:sdtPr>
    <w:sdtContent>
      <w:p w14:paraId="3182795D" w14:textId="77777777" w:rsidR="00F822FD" w:rsidRDefault="00F822FD">
        <w:pPr>
          <w:pStyle w:val="AltBilgi"/>
          <w:jc w:val="right"/>
        </w:pPr>
        <w:r>
          <w:fldChar w:fldCharType="begin"/>
        </w:r>
        <w:r>
          <w:instrText>PAGE   \* MERGEFORMAT</w:instrText>
        </w:r>
        <w:r>
          <w:fldChar w:fldCharType="separate"/>
        </w:r>
        <w:r>
          <w:rPr>
            <w:noProof/>
          </w:rPr>
          <w:t>1</w:t>
        </w:r>
        <w:r>
          <w:fldChar w:fldCharType="end"/>
        </w:r>
      </w:p>
    </w:sdtContent>
  </w:sdt>
  <w:p w14:paraId="7576C24B" w14:textId="77777777" w:rsidR="00F822FD" w:rsidRDefault="00F822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F93E" w14:textId="77777777" w:rsidR="0001409D" w:rsidRDefault="0001409D" w:rsidP="00F822FD">
      <w:pPr>
        <w:spacing w:after="0" w:line="240" w:lineRule="auto"/>
      </w:pPr>
      <w:r>
        <w:separator/>
      </w:r>
    </w:p>
  </w:footnote>
  <w:footnote w:type="continuationSeparator" w:id="0">
    <w:p w14:paraId="00A7517F" w14:textId="77777777" w:rsidR="0001409D" w:rsidRDefault="0001409D" w:rsidP="00F82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FD"/>
    <w:rsid w:val="0001409D"/>
    <w:rsid w:val="00031677"/>
    <w:rsid w:val="002E1537"/>
    <w:rsid w:val="0056064C"/>
    <w:rsid w:val="007227B8"/>
    <w:rsid w:val="00725080"/>
    <w:rsid w:val="00F822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F24C"/>
  <w15:chartTrackingRefBased/>
  <w15:docId w15:val="{847B03AB-D422-49AC-AB19-8A5E7F98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22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F822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tbaslik">
    <w:name w:val="altbaslik"/>
    <w:basedOn w:val="Normal"/>
    <w:rsid w:val="00F822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22FD"/>
  </w:style>
  <w:style w:type="character" w:customStyle="1" w:styleId="spelle">
    <w:name w:val="spelle"/>
    <w:basedOn w:val="VarsaylanParagrafYazTipi"/>
    <w:rsid w:val="00F822FD"/>
  </w:style>
  <w:style w:type="paragraph" w:styleId="stBilgi">
    <w:name w:val="header"/>
    <w:basedOn w:val="Normal"/>
    <w:link w:val="stBilgiChar"/>
    <w:uiPriority w:val="99"/>
    <w:unhideWhenUsed/>
    <w:rsid w:val="00F822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2FD"/>
  </w:style>
  <w:style w:type="paragraph" w:styleId="AltBilgi">
    <w:name w:val="footer"/>
    <w:basedOn w:val="Normal"/>
    <w:link w:val="AltBilgiChar"/>
    <w:uiPriority w:val="99"/>
    <w:unhideWhenUsed/>
    <w:rsid w:val="00F822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3872</Words>
  <Characters>22077</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ÖZEL</dc:creator>
  <cp:keywords/>
  <dc:description/>
  <cp:lastModifiedBy>SEFER TAŞKIN</cp:lastModifiedBy>
  <cp:revision>3</cp:revision>
  <dcterms:created xsi:type="dcterms:W3CDTF">2020-02-10T12:52:00Z</dcterms:created>
  <dcterms:modified xsi:type="dcterms:W3CDTF">2023-12-01T06:02:00Z</dcterms:modified>
</cp:coreProperties>
</file>