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Mar>
          <w:left w:w="0" w:type="dxa"/>
          <w:right w:w="0" w:type="dxa"/>
        </w:tblCellMar>
        <w:tblLook w:val="04A0" w:firstRow="1" w:lastRow="0" w:firstColumn="1" w:lastColumn="0" w:noHBand="0" w:noVBand="1"/>
      </w:tblPr>
      <w:tblGrid>
        <w:gridCol w:w="2931"/>
        <w:gridCol w:w="2931"/>
        <w:gridCol w:w="4061"/>
      </w:tblGrid>
      <w:tr w:rsidR="007B2426" w:rsidRPr="007B2426" w:rsidTr="007B242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4 Mart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Resmî Gazete</w:t>
            </w:r>
          </w:p>
        </w:tc>
        <w:tc>
          <w:tcPr>
            <w:tcW w:w="4061" w:type="dxa"/>
            <w:tcBorders>
              <w:top w:val="nil"/>
              <w:left w:val="nil"/>
              <w:bottom w:val="single" w:sz="8" w:space="0" w:color="660066"/>
              <w:right w:val="nil"/>
            </w:tcBorders>
            <w:tcMar>
              <w:top w:w="0" w:type="dxa"/>
              <w:left w:w="108" w:type="dxa"/>
              <w:bottom w:w="0" w:type="dxa"/>
              <w:right w:w="108" w:type="dxa"/>
            </w:tcMar>
            <w:vAlign w:val="center"/>
            <w:hideMark/>
          </w:tcPr>
          <w:p w:rsidR="00350415" w:rsidRPr="007B2426" w:rsidRDefault="00350415" w:rsidP="00350415">
            <w:pPr>
              <w:tabs>
                <w:tab w:val="left" w:pos="9214"/>
                <w:tab w:val="left" w:pos="9639"/>
              </w:tabs>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7B2426">
              <w:rPr>
                <w:rFonts w:ascii="Times New Roman" w:eastAsia="Times New Roman" w:hAnsi="Times New Roman" w:cs="Times New Roman"/>
                <w:color w:val="000000" w:themeColor="text1"/>
                <w:sz w:val="24"/>
                <w:szCs w:val="24"/>
                <w:lang w:eastAsia="tr-TR"/>
              </w:rPr>
              <w:t>Sayı : 31058</w:t>
            </w:r>
            <w:proofErr w:type="gramEnd"/>
          </w:p>
        </w:tc>
      </w:tr>
      <w:tr w:rsidR="007B2426" w:rsidRPr="007B2426" w:rsidTr="007B2426">
        <w:trPr>
          <w:trHeight w:val="480"/>
        </w:trPr>
        <w:tc>
          <w:tcPr>
            <w:tcW w:w="9923" w:type="dxa"/>
            <w:gridSpan w:val="3"/>
            <w:tcMar>
              <w:top w:w="0" w:type="dxa"/>
              <w:left w:w="108" w:type="dxa"/>
              <w:bottom w:w="0" w:type="dxa"/>
              <w:right w:w="108" w:type="dxa"/>
            </w:tcMar>
            <w:vAlign w:val="center"/>
            <w:hideMark/>
          </w:tcPr>
          <w:p w:rsidR="00350415" w:rsidRPr="007B2426" w:rsidRDefault="00350415" w:rsidP="00350415">
            <w:pPr>
              <w:tabs>
                <w:tab w:val="left" w:pos="9214"/>
                <w:tab w:val="left" w:pos="9639"/>
              </w:tabs>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YÖNETMELİK</w:t>
            </w:r>
          </w:p>
        </w:tc>
      </w:tr>
      <w:tr w:rsidR="007B2426" w:rsidRPr="007B2426" w:rsidTr="007B2426">
        <w:trPr>
          <w:trHeight w:val="480"/>
        </w:trPr>
        <w:tc>
          <w:tcPr>
            <w:tcW w:w="9923" w:type="dxa"/>
            <w:gridSpan w:val="3"/>
            <w:tcMar>
              <w:top w:w="0" w:type="dxa"/>
              <w:left w:w="108" w:type="dxa"/>
              <w:bottom w:w="0" w:type="dxa"/>
              <w:right w:w="108" w:type="dxa"/>
            </w:tcMar>
            <w:vAlign w:val="center"/>
            <w:hideMark/>
          </w:tcPr>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u w:val="single"/>
                <w:lang w:eastAsia="tr-TR"/>
              </w:rPr>
            </w:pPr>
            <w:r w:rsidRPr="007B2426">
              <w:rPr>
                <w:rFonts w:ascii="Times New Roman" w:eastAsia="Times New Roman" w:hAnsi="Times New Roman" w:cs="Times New Roman"/>
                <w:color w:val="000000" w:themeColor="text1"/>
                <w:sz w:val="24"/>
                <w:szCs w:val="24"/>
                <w:u w:val="single"/>
                <w:lang w:eastAsia="tr-TR"/>
              </w:rPr>
              <w:t>Sağlık Bakanlığından:</w:t>
            </w:r>
          </w:p>
          <w:p w:rsidR="00350415" w:rsidRPr="007B2426" w:rsidRDefault="00350415" w:rsidP="00EB1879">
            <w:pPr>
              <w:tabs>
                <w:tab w:val="left" w:pos="9214"/>
                <w:tab w:val="left" w:pos="9639"/>
              </w:tabs>
              <w:spacing w:after="0" w:line="240" w:lineRule="atLeast"/>
              <w:jc w:val="center"/>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SAĞLIK BAKANLIĞINA AİT KURUM VE KURULUŞLAR İLE DEVLET</w:t>
            </w:r>
          </w:p>
          <w:p w:rsidR="00350415" w:rsidRPr="007B2426" w:rsidRDefault="00350415" w:rsidP="00EB1879">
            <w:pPr>
              <w:tabs>
                <w:tab w:val="left" w:pos="9214"/>
                <w:tab w:val="left" w:pos="9639"/>
              </w:tabs>
              <w:spacing w:after="0" w:line="240" w:lineRule="atLeast"/>
              <w:jc w:val="center"/>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ÜNİVERSİTELERİNİN İLGİLİ BİRİMLERİNİN BİRLİKTE</w:t>
            </w:r>
          </w:p>
          <w:p w:rsidR="00350415" w:rsidRPr="007B2426" w:rsidRDefault="00350415" w:rsidP="00EB1879">
            <w:pPr>
              <w:tabs>
                <w:tab w:val="left" w:pos="9214"/>
                <w:tab w:val="left" w:pos="9639"/>
              </w:tabs>
              <w:spacing w:after="0" w:line="240" w:lineRule="atLeast"/>
              <w:jc w:val="center"/>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KULLANIMI İLE İŞBİRLİĞİ USUL VE ESASLARI</w:t>
            </w:r>
          </w:p>
          <w:p w:rsidR="00350415" w:rsidRPr="007B2426" w:rsidRDefault="00350415" w:rsidP="00EB1879">
            <w:pPr>
              <w:tabs>
                <w:tab w:val="left" w:pos="9214"/>
                <w:tab w:val="left" w:pos="9639"/>
              </w:tabs>
              <w:spacing w:after="0" w:line="240" w:lineRule="atLeast"/>
              <w:jc w:val="center"/>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HAKKINDA YÖNETMELİK</w:t>
            </w:r>
          </w:p>
          <w:p w:rsidR="00EB1879" w:rsidRDefault="00EB1879"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BİRİNCİ BÖLÜM</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Amaç, Kapsam, Dayanak ve Tanımlar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Amaç</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7B2426">
              <w:rPr>
                <w:rFonts w:ascii="Times New Roman" w:eastAsia="Times New Roman" w:hAnsi="Times New Roman" w:cs="Times New Roman"/>
                <w:b/>
                <w:bCs/>
                <w:color w:val="000000" w:themeColor="text1"/>
                <w:sz w:val="24"/>
                <w:szCs w:val="24"/>
                <w:lang w:eastAsia="tr-TR"/>
              </w:rPr>
              <w:t>MADDE 1 – </w:t>
            </w:r>
            <w:r w:rsidRPr="007B2426">
              <w:rPr>
                <w:rFonts w:ascii="Times New Roman" w:eastAsia="Times New Roman" w:hAnsi="Times New Roman" w:cs="Times New Roman"/>
                <w:color w:val="000000" w:themeColor="text1"/>
                <w:sz w:val="24"/>
                <w:szCs w:val="24"/>
                <w:lang w:eastAsia="tr-TR"/>
              </w:rPr>
              <w:t>(1) Bu Yönetmelik, Sağlık Bakanlığına bağlı sağlık tesisleri ile üniversitelerin tıp ve diş hekimliği alanında lisans ve uzmanlık eğitimi veren kurumlarının birlikte kullanımına ve Sağlık Bakanlığına bağlı sağlık tesisleri ile üniversitelerin sağlık bilimleri alanında eğitim veren birimleri arasında yapılacak işbirliği ile döner sermaye gelirlerinden personele yapılacak ek ödemeye ve diğer hususlarda yapılacak işbirliğine ilişkin usul ve esasları düzenlemek amacıyla hazırlanmıştır.</w:t>
            </w:r>
            <w:proofErr w:type="gramEnd"/>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Kapsam</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2 – </w:t>
            </w:r>
            <w:r w:rsidRPr="007B2426">
              <w:rPr>
                <w:rFonts w:ascii="Times New Roman" w:eastAsia="Times New Roman" w:hAnsi="Times New Roman" w:cs="Times New Roman"/>
                <w:color w:val="000000" w:themeColor="text1"/>
                <w:sz w:val="24"/>
                <w:szCs w:val="24"/>
                <w:lang w:eastAsia="tr-TR"/>
              </w:rPr>
              <w:t>(1) Bu Yönetmelik;</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a) Birlikte kullanılan Sağlık Bakanlığına bağlı sağlık tesisleri ile üniversitelerin tıp ve diş hekimliği alanında lisans ve uzmanlık eğitimi veren kurumlarını,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b) Birlikte kullanım kapsamında, tıp ve diş hekimliği fakülteleri dekanlarının görüşü alınarak sözleşme imzalanan öğretim elemanları ile bu fakültelerin kadrosunda bulunan öğretim elemanı dışındaki diğer personelden sözleşme imzalanan personeli,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c) (b) bendinde belirtilen fakülteler dışındaki üniversite personelinden sözleşme imzalanan personeli,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ç) Birlikte kullanım kapsamında görev yapan Sağlık Bakanlığı personelini,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d) İşbirliği protokolü yapan Sağlık Bakanlığına bağlı sağlık tesisleri ile üniversitelerin sağlık bilimleri eğitimi veren birimlerini ve protokol uyarınca bu tesis ve birimlerde görev yapan personeli,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7B2426">
              <w:rPr>
                <w:rFonts w:ascii="Times New Roman" w:eastAsia="Times New Roman" w:hAnsi="Times New Roman" w:cs="Times New Roman"/>
                <w:color w:val="000000" w:themeColor="text1"/>
                <w:sz w:val="24"/>
                <w:szCs w:val="24"/>
                <w:lang w:eastAsia="tr-TR"/>
              </w:rPr>
              <w:t>kapsar</w:t>
            </w:r>
            <w:proofErr w:type="gramEnd"/>
            <w:r w:rsidRPr="007B2426">
              <w:rPr>
                <w:rFonts w:ascii="Times New Roman" w:eastAsia="Times New Roman" w:hAnsi="Times New Roman" w:cs="Times New Roman"/>
                <w:color w:val="000000" w:themeColor="text1"/>
                <w:sz w:val="24"/>
                <w:szCs w:val="24"/>
                <w:lang w:eastAsia="tr-TR"/>
              </w:rPr>
              <w:t>.</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Dayanak</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3 – </w:t>
            </w:r>
            <w:r w:rsidRPr="007B2426">
              <w:rPr>
                <w:rFonts w:ascii="Times New Roman" w:eastAsia="Times New Roman" w:hAnsi="Times New Roman" w:cs="Times New Roman"/>
                <w:color w:val="000000" w:themeColor="text1"/>
                <w:sz w:val="24"/>
                <w:szCs w:val="24"/>
                <w:lang w:eastAsia="tr-TR"/>
              </w:rPr>
              <w:t>(1) Bu Yönetmelik, 1 sayılı Cumhurbaşkanlığı Teşkilatı Hakkında Cumhurbaşkanlığı Kararnamesinin 372 </w:t>
            </w:r>
            <w:proofErr w:type="spellStart"/>
            <w:r w:rsidRPr="007B2426">
              <w:rPr>
                <w:rFonts w:ascii="Times New Roman" w:eastAsia="Times New Roman" w:hAnsi="Times New Roman" w:cs="Times New Roman"/>
                <w:color w:val="000000" w:themeColor="text1"/>
                <w:sz w:val="24"/>
                <w:szCs w:val="24"/>
                <w:lang w:eastAsia="tr-TR"/>
              </w:rPr>
              <w:t>nci</w:t>
            </w:r>
            <w:proofErr w:type="spellEnd"/>
            <w:r w:rsidRPr="007B2426">
              <w:rPr>
                <w:rFonts w:ascii="Times New Roman" w:eastAsia="Times New Roman" w:hAnsi="Times New Roman" w:cs="Times New Roman"/>
                <w:color w:val="000000" w:themeColor="text1"/>
                <w:sz w:val="24"/>
                <w:szCs w:val="24"/>
                <w:lang w:eastAsia="tr-TR"/>
              </w:rPr>
              <w:t> maddesi ile </w:t>
            </w:r>
            <w:proofErr w:type="gramStart"/>
            <w:r w:rsidRPr="007B2426">
              <w:rPr>
                <w:rFonts w:ascii="Times New Roman" w:eastAsia="Times New Roman" w:hAnsi="Times New Roman" w:cs="Times New Roman"/>
                <w:color w:val="000000" w:themeColor="text1"/>
                <w:sz w:val="24"/>
                <w:szCs w:val="24"/>
                <w:lang w:eastAsia="tr-TR"/>
              </w:rPr>
              <w:t>7/5/1987</w:t>
            </w:r>
            <w:proofErr w:type="gramEnd"/>
            <w:r w:rsidRPr="007B2426">
              <w:rPr>
                <w:rFonts w:ascii="Times New Roman" w:eastAsia="Times New Roman" w:hAnsi="Times New Roman" w:cs="Times New Roman"/>
                <w:color w:val="000000" w:themeColor="text1"/>
                <w:sz w:val="24"/>
                <w:szCs w:val="24"/>
                <w:lang w:eastAsia="tr-TR"/>
              </w:rPr>
              <w:t> tarihli ve 3359 sayılı Sağlık Hizmetleri Temel Kanununun ek 1 inci ve ek 9 uncu maddelerine dayanılarak hazırlanmıştır.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Tanımlar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4 – </w:t>
            </w:r>
            <w:r w:rsidRPr="007B2426">
              <w:rPr>
                <w:rFonts w:ascii="Times New Roman" w:eastAsia="Times New Roman" w:hAnsi="Times New Roman" w:cs="Times New Roman"/>
                <w:color w:val="000000" w:themeColor="text1"/>
                <w:sz w:val="24"/>
                <w:szCs w:val="24"/>
                <w:lang w:eastAsia="tr-TR"/>
              </w:rPr>
              <w:t>(1) Bu Yönetmelikte geçen;</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a</w:t>
            </w:r>
            <w:r w:rsidRPr="007B2426">
              <w:rPr>
                <w:rFonts w:ascii="Times New Roman" w:eastAsia="Times New Roman" w:hAnsi="Times New Roman" w:cs="Times New Roman"/>
                <w:b/>
                <w:color w:val="000000" w:themeColor="text1"/>
                <w:sz w:val="24"/>
                <w:szCs w:val="24"/>
                <w:lang w:eastAsia="tr-TR"/>
              </w:rPr>
              <w:t>) Bakanlık</w:t>
            </w:r>
            <w:r w:rsidRPr="007B2426">
              <w:rPr>
                <w:rFonts w:ascii="Times New Roman" w:eastAsia="Times New Roman" w:hAnsi="Times New Roman" w:cs="Times New Roman"/>
                <w:color w:val="000000" w:themeColor="text1"/>
                <w:sz w:val="24"/>
                <w:szCs w:val="24"/>
                <w:lang w:eastAsia="tr-TR"/>
              </w:rPr>
              <w:t>: Sağlık Bakanlığını,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b</w:t>
            </w:r>
            <w:r w:rsidRPr="007B2426">
              <w:rPr>
                <w:rFonts w:ascii="Times New Roman" w:eastAsia="Times New Roman" w:hAnsi="Times New Roman" w:cs="Times New Roman"/>
                <w:b/>
                <w:color w:val="000000" w:themeColor="text1"/>
                <w:sz w:val="24"/>
                <w:szCs w:val="24"/>
                <w:lang w:eastAsia="tr-TR"/>
              </w:rPr>
              <w:t>) Başhekim:</w:t>
            </w:r>
            <w:r w:rsidRPr="007B2426">
              <w:rPr>
                <w:rFonts w:ascii="Times New Roman" w:eastAsia="Times New Roman" w:hAnsi="Times New Roman" w:cs="Times New Roman"/>
                <w:color w:val="000000" w:themeColor="text1"/>
                <w:sz w:val="24"/>
                <w:szCs w:val="24"/>
                <w:lang w:eastAsia="tr-TR"/>
              </w:rPr>
              <w:t xml:space="preserve"> Birlikte kullanım protokolü bulunan sağlık tesisinin, ilgili üniversitenin görüşü alınarak profesör veya doçent unvanını haiz veyahut doktor öğretim üyesi veya eğitim görevlisi kadrosunda bulunan tabiplerden Bakanlıkça atanan başhekimini; aynı yerleşke içinde birden fazla hastane bulunması durumunda bu hastanelerin müşterek yönetimi için görevlendirilmiş koordinatör başhekimini,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c) </w:t>
            </w:r>
            <w:r w:rsidRPr="007B2426">
              <w:rPr>
                <w:rFonts w:ascii="Times New Roman" w:eastAsia="Times New Roman" w:hAnsi="Times New Roman" w:cs="Times New Roman"/>
                <w:b/>
                <w:color w:val="000000" w:themeColor="text1"/>
                <w:sz w:val="24"/>
                <w:szCs w:val="24"/>
                <w:lang w:eastAsia="tr-TR"/>
              </w:rPr>
              <w:t>Birlikte kullanım:</w:t>
            </w:r>
            <w:r w:rsidRPr="007B2426">
              <w:rPr>
                <w:rFonts w:ascii="Times New Roman" w:eastAsia="Times New Roman" w:hAnsi="Times New Roman" w:cs="Times New Roman"/>
                <w:color w:val="000000" w:themeColor="text1"/>
                <w:sz w:val="24"/>
                <w:szCs w:val="24"/>
                <w:lang w:eastAsia="tr-TR"/>
              </w:rPr>
              <w:t xml:space="preserve"> Sağlık Bakanlığına bağlı sağlık tesisleri ile üniversitelerin tıp ve diş hekimliği alanında lisans ve uzmanlık eğitimi veren kurumlarının eğitim, araştırma ve sağlık hizmet sunumu için insan gücü, mali kaynak, fiziki donanım, bina, tıbbi cihaz ve diğer kaynaklarının imzalanacak protokol çerçevesinde birlikte kullanılmasını,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ç</w:t>
            </w:r>
            <w:r w:rsidRPr="007B2426">
              <w:rPr>
                <w:rFonts w:ascii="Times New Roman" w:eastAsia="Times New Roman" w:hAnsi="Times New Roman" w:cs="Times New Roman"/>
                <w:b/>
                <w:color w:val="000000" w:themeColor="text1"/>
                <w:sz w:val="24"/>
                <w:szCs w:val="24"/>
                <w:lang w:eastAsia="tr-TR"/>
              </w:rPr>
              <w:t>) Dekan:</w:t>
            </w:r>
            <w:r w:rsidRPr="007B2426">
              <w:rPr>
                <w:rFonts w:ascii="Times New Roman" w:eastAsia="Times New Roman" w:hAnsi="Times New Roman" w:cs="Times New Roman"/>
                <w:color w:val="000000" w:themeColor="text1"/>
                <w:sz w:val="24"/>
                <w:szCs w:val="24"/>
                <w:lang w:eastAsia="tr-TR"/>
              </w:rPr>
              <w:t xml:space="preserve"> Üniversitenin birlikte kullanım ve/veya işbirliği protokolü kapsamındaki ilgili fakülte dekanını, aynı sağlık tesisi için birden çok üniversite ile birlikte kullanım ve/veya işbirliği protokolü imzalanması halinde birlikte kullanımdaki sağlık tesisinde görev yapan öğretim elemanı sayısı en fazla </w:t>
            </w:r>
            <w:r w:rsidRPr="007B2426">
              <w:rPr>
                <w:rFonts w:ascii="Times New Roman" w:eastAsia="Times New Roman" w:hAnsi="Times New Roman" w:cs="Times New Roman"/>
                <w:color w:val="000000" w:themeColor="text1"/>
                <w:sz w:val="24"/>
                <w:szCs w:val="24"/>
                <w:lang w:eastAsia="tr-TR"/>
              </w:rPr>
              <w:lastRenderedPageBreak/>
              <w:t>olan ilgili fakültenin dekanını, klinik veya </w:t>
            </w:r>
            <w:proofErr w:type="gramStart"/>
            <w:r w:rsidRPr="007B2426">
              <w:rPr>
                <w:rFonts w:ascii="Times New Roman" w:eastAsia="Times New Roman" w:hAnsi="Times New Roman" w:cs="Times New Roman"/>
                <w:color w:val="000000" w:themeColor="text1"/>
                <w:sz w:val="24"/>
                <w:szCs w:val="24"/>
                <w:lang w:eastAsia="tr-TR"/>
              </w:rPr>
              <w:t>branş</w:t>
            </w:r>
            <w:proofErr w:type="gramEnd"/>
            <w:r w:rsidRPr="007B2426">
              <w:rPr>
                <w:rFonts w:ascii="Times New Roman" w:eastAsia="Times New Roman" w:hAnsi="Times New Roman" w:cs="Times New Roman"/>
                <w:color w:val="000000" w:themeColor="text1"/>
                <w:sz w:val="24"/>
                <w:szCs w:val="24"/>
                <w:lang w:eastAsia="tr-TR"/>
              </w:rPr>
              <w:t> bazlı işbirliği protokolü imzalanması halinde ilgili klinik veya branşta görev yapan öğretim elemanı sayısı en fazla olan ilgili fakültenin dekanını,</w:t>
            </w:r>
          </w:p>
          <w:p w:rsidR="00350415" w:rsidRPr="007827C8" w:rsidRDefault="00350415" w:rsidP="00350415">
            <w:pPr>
              <w:tabs>
                <w:tab w:val="left" w:pos="9214"/>
                <w:tab w:val="left" w:pos="9639"/>
              </w:tabs>
              <w:spacing w:after="0" w:line="240" w:lineRule="atLeast"/>
              <w:ind w:firstLine="566"/>
              <w:jc w:val="both"/>
              <w:rPr>
                <w:rFonts w:ascii="Times New Roman" w:eastAsia="Times New Roman" w:hAnsi="Times New Roman" w:cs="Times New Roman"/>
                <w:sz w:val="24"/>
                <w:szCs w:val="24"/>
                <w:lang w:eastAsia="tr-TR"/>
              </w:rPr>
            </w:pPr>
            <w:r w:rsidRPr="007827C8">
              <w:rPr>
                <w:rFonts w:ascii="Times New Roman" w:eastAsia="Times New Roman" w:hAnsi="Times New Roman" w:cs="Times New Roman"/>
                <w:sz w:val="24"/>
                <w:szCs w:val="24"/>
                <w:highlight w:val="yellow"/>
                <w:lang w:eastAsia="tr-TR"/>
              </w:rPr>
              <w:t>d</w:t>
            </w:r>
            <w:r w:rsidRPr="007827C8">
              <w:rPr>
                <w:rFonts w:ascii="Times New Roman" w:eastAsia="Times New Roman" w:hAnsi="Times New Roman" w:cs="Times New Roman"/>
                <w:b/>
                <w:sz w:val="24"/>
                <w:szCs w:val="24"/>
                <w:highlight w:val="yellow"/>
                <w:lang w:eastAsia="tr-TR"/>
              </w:rPr>
              <w:t>) Eğitim sorumlusu</w:t>
            </w:r>
            <w:r w:rsidRPr="007827C8">
              <w:rPr>
                <w:rFonts w:ascii="Times New Roman" w:eastAsia="Times New Roman" w:hAnsi="Times New Roman" w:cs="Times New Roman"/>
                <w:sz w:val="24"/>
                <w:szCs w:val="24"/>
                <w:highlight w:val="yellow"/>
                <w:lang w:eastAsia="tr-TR"/>
              </w:rPr>
              <w:t>: Tıpta ve Diş Hekimliğinde ilgili programdaki lisans ve uzmanlık eğitiminin yürütülmesinden sorumlu olan her bir klinik/laboratuvar için dekanın görüşü alınarak Başhekim tarafından bir yıllık süreyle görevlendirilen öğretim üyesini veya eğitim görevlisini,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827C8">
              <w:rPr>
                <w:rFonts w:ascii="Times New Roman" w:eastAsia="Times New Roman" w:hAnsi="Times New Roman" w:cs="Times New Roman"/>
                <w:sz w:val="24"/>
                <w:szCs w:val="24"/>
                <w:lang w:eastAsia="tr-TR"/>
              </w:rPr>
              <w:t xml:space="preserve">e) </w:t>
            </w:r>
            <w:r w:rsidRPr="007827C8">
              <w:rPr>
                <w:rFonts w:ascii="Times New Roman" w:eastAsia="Times New Roman" w:hAnsi="Times New Roman" w:cs="Times New Roman"/>
                <w:b/>
                <w:sz w:val="24"/>
                <w:szCs w:val="24"/>
                <w:lang w:eastAsia="tr-TR"/>
              </w:rPr>
              <w:t>Ek ödeme yönetmeliği</w:t>
            </w:r>
            <w:r w:rsidRPr="007827C8">
              <w:rPr>
                <w:rFonts w:ascii="Times New Roman" w:eastAsia="Times New Roman" w:hAnsi="Times New Roman" w:cs="Times New Roman"/>
                <w:sz w:val="24"/>
                <w:szCs w:val="24"/>
                <w:lang w:eastAsia="tr-TR"/>
              </w:rPr>
              <w:t xml:space="preserve">: Sağlık Bakanlığına bağlı ikinci ve üçüncü basamak sağlık </w:t>
            </w:r>
            <w:r w:rsidRPr="007B2426">
              <w:rPr>
                <w:rFonts w:ascii="Times New Roman" w:eastAsia="Times New Roman" w:hAnsi="Times New Roman" w:cs="Times New Roman"/>
                <w:color w:val="000000" w:themeColor="text1"/>
                <w:sz w:val="24"/>
                <w:szCs w:val="24"/>
                <w:lang w:eastAsia="tr-TR"/>
              </w:rPr>
              <w:t>tesislerinde görevli personele ek ödeme yapılmasına ilişkin yönetmeliği,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827C8">
              <w:rPr>
                <w:rFonts w:ascii="Times New Roman" w:eastAsia="Times New Roman" w:hAnsi="Times New Roman" w:cs="Times New Roman"/>
                <w:color w:val="000000" w:themeColor="text1"/>
                <w:sz w:val="24"/>
                <w:szCs w:val="24"/>
                <w:highlight w:val="yellow"/>
                <w:lang w:eastAsia="tr-TR"/>
              </w:rPr>
              <w:t xml:space="preserve">f) </w:t>
            </w:r>
            <w:r w:rsidRPr="007827C8">
              <w:rPr>
                <w:rFonts w:ascii="Times New Roman" w:eastAsia="Times New Roman" w:hAnsi="Times New Roman" w:cs="Times New Roman"/>
                <w:b/>
                <w:color w:val="000000" w:themeColor="text1"/>
                <w:sz w:val="24"/>
                <w:szCs w:val="24"/>
                <w:highlight w:val="yellow"/>
                <w:lang w:eastAsia="tr-TR"/>
              </w:rPr>
              <w:t>İdari sorumlu:</w:t>
            </w:r>
            <w:r w:rsidRPr="007827C8">
              <w:rPr>
                <w:rFonts w:ascii="Times New Roman" w:eastAsia="Times New Roman" w:hAnsi="Times New Roman" w:cs="Times New Roman"/>
                <w:color w:val="000000" w:themeColor="text1"/>
                <w:sz w:val="24"/>
                <w:szCs w:val="24"/>
                <w:highlight w:val="yellow"/>
                <w:lang w:eastAsia="tr-TR"/>
              </w:rPr>
              <w:t xml:space="preserve"> İlgili klinik/laboratuvarda sunulan sağlık hizmetinin yirmi dört saat esasına göre kesintisiz olarak yürütülmesinden sorumlu, başhekim tarafından görevlendirilen en az uzman hekim unvanlı hekimi,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g) </w:t>
            </w:r>
            <w:r w:rsidRPr="007B2426">
              <w:rPr>
                <w:rFonts w:ascii="Times New Roman" w:eastAsia="Times New Roman" w:hAnsi="Times New Roman" w:cs="Times New Roman"/>
                <w:b/>
                <w:color w:val="000000" w:themeColor="text1"/>
                <w:sz w:val="24"/>
                <w:szCs w:val="24"/>
                <w:lang w:eastAsia="tr-TR"/>
              </w:rPr>
              <w:t>İlgili birim</w:t>
            </w:r>
            <w:r w:rsidRPr="007B2426">
              <w:rPr>
                <w:rFonts w:ascii="Times New Roman" w:eastAsia="Times New Roman" w:hAnsi="Times New Roman" w:cs="Times New Roman"/>
                <w:color w:val="000000" w:themeColor="text1"/>
                <w:sz w:val="24"/>
                <w:szCs w:val="24"/>
                <w:lang w:eastAsia="tr-TR"/>
              </w:rPr>
              <w:t>: Birlikte kullanımda üniversitelerin tıp ve diş hekimliği alanında lisans ve uzmanlık eğitimi veren kurumlarını, işbirliğinde üniversitelerin sağlık bilimleri eğitimi veren birimlerini,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7B2426">
              <w:rPr>
                <w:rFonts w:ascii="Times New Roman" w:eastAsia="Times New Roman" w:hAnsi="Times New Roman" w:cs="Times New Roman"/>
                <w:color w:val="000000" w:themeColor="text1"/>
                <w:sz w:val="24"/>
                <w:szCs w:val="24"/>
                <w:lang w:eastAsia="tr-TR"/>
              </w:rPr>
              <w:t xml:space="preserve">ğ) </w:t>
            </w:r>
            <w:r w:rsidRPr="007B2426">
              <w:rPr>
                <w:rFonts w:ascii="Times New Roman" w:eastAsia="Times New Roman" w:hAnsi="Times New Roman" w:cs="Times New Roman"/>
                <w:b/>
                <w:color w:val="000000" w:themeColor="text1"/>
                <w:sz w:val="24"/>
                <w:szCs w:val="24"/>
                <w:lang w:eastAsia="tr-TR"/>
              </w:rPr>
              <w:t>İşbirliği:</w:t>
            </w:r>
            <w:r w:rsidRPr="007B2426">
              <w:rPr>
                <w:rFonts w:ascii="Times New Roman" w:eastAsia="Times New Roman" w:hAnsi="Times New Roman" w:cs="Times New Roman"/>
                <w:color w:val="000000" w:themeColor="text1"/>
                <w:sz w:val="24"/>
                <w:szCs w:val="24"/>
                <w:lang w:eastAsia="tr-TR"/>
              </w:rPr>
              <w:t xml:space="preserve"> Sağlık Bakanlığına bağlı sağlık tesisleri ile üniversitelerin ilgili birimlerinin görev ve hizmetlerinin etkin ve verimli yürütülmesi, ortak gaye ve menfaatlerinin gerçekleştirilmesi için döner sermayeleri ayrı olmak üzere sağlık hizmet sunumu, eğitim, araştırma, halk sağlığını geliştirme ve kurumların diğer faaliyet alanlarında imzalanacak protokol çerçevesinde tarafların birlikte hareket etmesini, yardımlaşmasını ve çalışmasını,</w:t>
            </w:r>
            <w:proofErr w:type="gramEnd"/>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h) </w:t>
            </w:r>
            <w:r w:rsidRPr="007B2426">
              <w:rPr>
                <w:rFonts w:ascii="Times New Roman" w:eastAsia="Times New Roman" w:hAnsi="Times New Roman" w:cs="Times New Roman"/>
                <w:b/>
                <w:color w:val="000000" w:themeColor="text1"/>
                <w:sz w:val="24"/>
                <w:szCs w:val="24"/>
                <w:lang w:eastAsia="tr-TR"/>
              </w:rPr>
              <w:t>Kurum</w:t>
            </w:r>
            <w:r w:rsidRPr="007B2426">
              <w:rPr>
                <w:rFonts w:ascii="Times New Roman" w:eastAsia="Times New Roman" w:hAnsi="Times New Roman" w:cs="Times New Roman"/>
                <w:color w:val="000000" w:themeColor="text1"/>
                <w:sz w:val="24"/>
                <w:szCs w:val="24"/>
                <w:lang w:eastAsia="tr-TR"/>
              </w:rPr>
              <w:t>: Birlikte kullanım ve/veya işbirliği protokolü imzalanan kurum ya da kuruluşu,</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827C8">
              <w:rPr>
                <w:rFonts w:ascii="Times New Roman" w:eastAsia="Times New Roman" w:hAnsi="Times New Roman" w:cs="Times New Roman"/>
                <w:color w:val="000000" w:themeColor="text1"/>
                <w:sz w:val="24"/>
                <w:szCs w:val="24"/>
                <w:highlight w:val="cyan"/>
                <w:lang w:eastAsia="tr-TR"/>
              </w:rPr>
              <w:t xml:space="preserve">ı) </w:t>
            </w:r>
            <w:r w:rsidRPr="007827C8">
              <w:rPr>
                <w:rFonts w:ascii="Times New Roman" w:eastAsia="Times New Roman" w:hAnsi="Times New Roman" w:cs="Times New Roman"/>
                <w:b/>
                <w:color w:val="000000" w:themeColor="text1"/>
                <w:sz w:val="24"/>
                <w:szCs w:val="24"/>
                <w:highlight w:val="cyan"/>
                <w:lang w:eastAsia="tr-TR"/>
              </w:rPr>
              <w:t>Kurum Eğitim Sorumlusu:</w:t>
            </w:r>
            <w:r w:rsidRPr="007827C8">
              <w:rPr>
                <w:rFonts w:ascii="Times New Roman" w:eastAsia="Times New Roman" w:hAnsi="Times New Roman" w:cs="Times New Roman"/>
                <w:color w:val="000000" w:themeColor="text1"/>
                <w:sz w:val="24"/>
                <w:szCs w:val="24"/>
                <w:highlight w:val="cyan"/>
                <w:lang w:eastAsia="tr-TR"/>
              </w:rPr>
              <w:t xml:space="preserve"> Tıpta ve Diş Hekimliğinde lisans ve uzmanlık eğitiminin yürütülmesinden sorumlu, başhekimin görüşü alınarak dekan tarafından görevlendirilen öğretim üyesini,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i) </w:t>
            </w:r>
            <w:r w:rsidRPr="007B2426">
              <w:rPr>
                <w:rFonts w:ascii="Times New Roman" w:eastAsia="Times New Roman" w:hAnsi="Times New Roman" w:cs="Times New Roman"/>
                <w:b/>
                <w:color w:val="000000" w:themeColor="text1"/>
                <w:sz w:val="24"/>
                <w:szCs w:val="24"/>
                <w:lang w:eastAsia="tr-TR"/>
              </w:rPr>
              <w:t xml:space="preserve">Sağlık tesisi: </w:t>
            </w:r>
            <w:r w:rsidRPr="007B2426">
              <w:rPr>
                <w:rFonts w:ascii="Times New Roman" w:eastAsia="Times New Roman" w:hAnsi="Times New Roman" w:cs="Times New Roman"/>
                <w:color w:val="000000" w:themeColor="text1"/>
                <w:sz w:val="24"/>
                <w:szCs w:val="24"/>
                <w:lang w:eastAsia="tr-TR"/>
              </w:rPr>
              <w:t>Sağlık Bakanlığına ait sağlık tesislerini,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j) </w:t>
            </w:r>
            <w:r w:rsidRPr="007B2426">
              <w:rPr>
                <w:rFonts w:ascii="Times New Roman" w:eastAsia="Times New Roman" w:hAnsi="Times New Roman" w:cs="Times New Roman"/>
                <w:b/>
                <w:color w:val="000000" w:themeColor="text1"/>
                <w:sz w:val="24"/>
                <w:szCs w:val="24"/>
                <w:lang w:eastAsia="tr-TR"/>
              </w:rPr>
              <w:t>Üniversite:</w:t>
            </w:r>
            <w:r w:rsidRPr="007B2426">
              <w:rPr>
                <w:rFonts w:ascii="Times New Roman" w:eastAsia="Times New Roman" w:hAnsi="Times New Roman" w:cs="Times New Roman"/>
                <w:color w:val="000000" w:themeColor="text1"/>
                <w:sz w:val="24"/>
                <w:szCs w:val="24"/>
                <w:lang w:eastAsia="tr-TR"/>
              </w:rPr>
              <w:t xml:space="preserve"> Devlet üniversitelerini,</w:t>
            </w:r>
          </w:p>
          <w:p w:rsidR="00350415" w:rsidRPr="007B2426" w:rsidRDefault="007B2426"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w:t>
            </w:r>
            <w:r w:rsidR="00350415" w:rsidRPr="007B2426">
              <w:rPr>
                <w:rFonts w:ascii="Times New Roman" w:eastAsia="Times New Roman" w:hAnsi="Times New Roman" w:cs="Times New Roman"/>
                <w:b/>
                <w:color w:val="000000" w:themeColor="text1"/>
                <w:sz w:val="24"/>
                <w:szCs w:val="24"/>
                <w:lang w:eastAsia="tr-TR"/>
              </w:rPr>
              <w:t>Üniversite hastanesi</w:t>
            </w:r>
            <w:r w:rsidR="00350415" w:rsidRPr="007B2426">
              <w:rPr>
                <w:rFonts w:ascii="Times New Roman" w:eastAsia="Times New Roman" w:hAnsi="Times New Roman" w:cs="Times New Roman"/>
                <w:color w:val="000000" w:themeColor="text1"/>
                <w:sz w:val="24"/>
                <w:szCs w:val="24"/>
                <w:lang w:eastAsia="tr-TR"/>
              </w:rPr>
              <w:t>: Üniversiteler tarafından işletilen hastaneler veya sağlık tesislerini veyahut üniversitelerin birlikte kullanım protokolü imzaladığı hastane veya sağlık tesislerini,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l) </w:t>
            </w:r>
            <w:r w:rsidRPr="007B2426">
              <w:rPr>
                <w:rFonts w:ascii="Times New Roman" w:eastAsia="Times New Roman" w:hAnsi="Times New Roman" w:cs="Times New Roman"/>
                <w:b/>
                <w:color w:val="000000" w:themeColor="text1"/>
                <w:sz w:val="24"/>
                <w:szCs w:val="24"/>
                <w:lang w:eastAsia="tr-TR"/>
              </w:rPr>
              <w:t>YÖK:</w:t>
            </w:r>
            <w:r w:rsidRPr="007B2426">
              <w:rPr>
                <w:rFonts w:ascii="Times New Roman" w:eastAsia="Times New Roman" w:hAnsi="Times New Roman" w:cs="Times New Roman"/>
                <w:color w:val="000000" w:themeColor="text1"/>
                <w:sz w:val="24"/>
                <w:szCs w:val="24"/>
                <w:lang w:eastAsia="tr-TR"/>
              </w:rPr>
              <w:t xml:space="preserve"> Yükseköğretim Kurulunu,</w:t>
            </w:r>
            <w:r w:rsidR="007B2426">
              <w:rPr>
                <w:rFonts w:ascii="Times New Roman" w:eastAsia="Times New Roman" w:hAnsi="Times New Roman" w:cs="Times New Roman"/>
                <w:color w:val="000000" w:themeColor="text1"/>
                <w:sz w:val="24"/>
                <w:szCs w:val="24"/>
                <w:lang w:eastAsia="tr-TR"/>
              </w:rPr>
              <w:t xml:space="preserve"> </w:t>
            </w:r>
            <w:r w:rsidRPr="007B2426">
              <w:rPr>
                <w:rFonts w:ascii="Times New Roman" w:eastAsia="Times New Roman" w:hAnsi="Times New Roman" w:cs="Times New Roman"/>
                <w:color w:val="000000" w:themeColor="text1"/>
                <w:sz w:val="24"/>
                <w:szCs w:val="24"/>
                <w:lang w:eastAsia="tr-TR"/>
              </w:rPr>
              <w:t>ifade eder.</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İKİNCİ BÖLÜM</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Birlikte Kullanıma İlişkin Planlama ve Uygulama Esasları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Planlama esasları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5 – </w:t>
            </w:r>
            <w:r w:rsidRPr="007B2426">
              <w:rPr>
                <w:rFonts w:ascii="Times New Roman" w:eastAsia="Times New Roman" w:hAnsi="Times New Roman" w:cs="Times New Roman"/>
                <w:color w:val="000000" w:themeColor="text1"/>
                <w:sz w:val="24"/>
                <w:szCs w:val="24"/>
                <w:lang w:eastAsia="tr-TR"/>
              </w:rPr>
              <w:t>(1) Sağlık Bakanlığına bağlı sağlık tesisleri ile üniversitelerin ilgili birimlerinin, sağlık hizmeti sunumu ile eğitim, araştırma ve uygulama hizmetlerinin daha etkin ve verimli yürütülebilmesi amacıyla imzalanacak birlikte kullanım protokolleri, aşağıda belirtilen usul ve esaslara göre planlanır ve uygulanır: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a) Büyükşehir olmayan illerde eğitim, araştırma ve uygulama hizmetleri, Bakanlık eğitim ve araştırma hastanesi veya üniversite hastanelerinden yalnızca biri tarafından verilebilir.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b) Büyükşehir olan illerde eğitim, araştırma ve sağlık hizmeti sunumu için sağlık tesisi ve üniversitenin ilgili birimleri arasında birlikte kullanım protokolü yapılabilir.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c) Birlikte kullanım protokolleri, birden fazla üniversite ile de yapılabilir. Birlikte kullanıma geçilen sağlık tesisleri ile üniversitelerin birlikte kullanım kapsamına alınan hastanelerinin döner sermaye hesapları, birlikte kullanılan birimlerle sınırlı olmak üzere birleştirilir.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ç) Birlikte kullanılacak sağlık tesislerine ait özellikli planlama gerektiren sağlık hizmet birimleri ve planlamaya tabi tıbbi </w:t>
            </w:r>
            <w:proofErr w:type="gramStart"/>
            <w:r w:rsidRPr="007B2426">
              <w:rPr>
                <w:rFonts w:ascii="Times New Roman" w:eastAsia="Times New Roman" w:hAnsi="Times New Roman" w:cs="Times New Roman"/>
                <w:color w:val="000000" w:themeColor="text1"/>
                <w:sz w:val="24"/>
                <w:szCs w:val="24"/>
                <w:lang w:eastAsia="tr-TR"/>
              </w:rPr>
              <w:t>ekipman</w:t>
            </w:r>
            <w:proofErr w:type="gramEnd"/>
            <w:r w:rsidRPr="007B2426">
              <w:rPr>
                <w:rFonts w:ascii="Times New Roman" w:eastAsia="Times New Roman" w:hAnsi="Times New Roman" w:cs="Times New Roman"/>
                <w:color w:val="000000" w:themeColor="text1"/>
                <w:sz w:val="24"/>
                <w:szCs w:val="24"/>
                <w:lang w:eastAsia="tr-TR"/>
              </w:rPr>
              <w:t> yatırımlarında, tıp fakültesi, diş hekimliği fakültesi ya da tıpta ve diş hekimliğinde uzmanlık öğrencilerinin eğitimleri ile ilgili standartları gereği rektörlüğün görüşleri alınır ve Bakanlıkça belirlenmiş olan sağlık planlamaları çerçevesinde işlem tesis edilir.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Birlikte kullanılan sağlık tesislerinin statüsü</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6 – </w:t>
            </w:r>
            <w:r w:rsidRPr="007B2426">
              <w:rPr>
                <w:rFonts w:ascii="Times New Roman" w:eastAsia="Times New Roman" w:hAnsi="Times New Roman" w:cs="Times New Roman"/>
                <w:color w:val="000000" w:themeColor="text1"/>
                <w:sz w:val="24"/>
                <w:szCs w:val="24"/>
                <w:lang w:eastAsia="tr-TR"/>
              </w:rPr>
              <w:t xml:space="preserve">(1) </w:t>
            </w:r>
            <w:r w:rsidRPr="00620A3D">
              <w:rPr>
                <w:rFonts w:ascii="Times New Roman" w:eastAsia="Times New Roman" w:hAnsi="Times New Roman" w:cs="Times New Roman"/>
                <w:color w:val="000000" w:themeColor="text1"/>
                <w:sz w:val="24"/>
                <w:szCs w:val="24"/>
                <w:highlight w:val="yellow"/>
                <w:lang w:eastAsia="tr-TR"/>
              </w:rPr>
              <w:t xml:space="preserve">Birlikte kullanılan sağlık tesisleri, Sağlık Bakanlığına bağlı eğitim ve araştırma hastanesi, </w:t>
            </w:r>
            <w:r w:rsidRPr="00620A3D">
              <w:rPr>
                <w:rFonts w:ascii="Times New Roman" w:eastAsia="Times New Roman" w:hAnsi="Times New Roman" w:cs="Times New Roman"/>
                <w:color w:val="000000" w:themeColor="text1"/>
                <w:sz w:val="24"/>
                <w:szCs w:val="24"/>
                <w:highlight w:val="green"/>
                <w:lang w:eastAsia="tr-TR"/>
              </w:rPr>
              <w:t>üniversiteler için ise üniversite hastanesi olarak kabul edilir.</w:t>
            </w: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lastRenderedPageBreak/>
              <w:t>Protokolün imzalanması, feshi ve diğer uygulama esasları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7 – </w:t>
            </w:r>
            <w:r w:rsidRPr="007B2426">
              <w:rPr>
                <w:rFonts w:ascii="Times New Roman" w:eastAsia="Times New Roman" w:hAnsi="Times New Roman" w:cs="Times New Roman"/>
                <w:color w:val="000000" w:themeColor="text1"/>
                <w:sz w:val="24"/>
                <w:szCs w:val="24"/>
                <w:lang w:eastAsia="tr-TR"/>
              </w:rPr>
              <w:t>(1) Bakanlık ve YÖK tarafından, birlikte kullanıma ilişkin olarak müştereken tip protokol hazırlanır.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Birlikte kullanım protokolü imzalanacak sağlık tesisinin insan gücü ve diğer tüm kaynakları hakkında, hastanenin bulunduğu İl’in İl Sağlık Müdürünün başkanlığında, Başhekim ve Dekandan oluşan komisyon tarafından ön değerlendirme raporu hazırlanır. Ön değerlendirme raporu, protokol imzalanacak sağlık tesisi için alınacak uygun görüş yazısı ekinde yer alır.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Birlikte kullanım protokolü, Kamu Hastaneleri Genel Müdürü ve Rektör tarafından imzalanır. Rektör protokol imzalamadan önce YÖK’ün uygun görüşünü alır.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(4) Protokolün süresi altı yıldan az olamaz.</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(5) Birlikte kullanım protokolünün imzalanmasından itibaren en geç altı ay içerisinde fiilen birlikte kullanıma geçilir. Bu süre içerisinde fiilen birlikte kullanıma geçilmemesi halinde protokol kendiliğinden sona erer. Döner sermaye hesaplarının birleştirildiği tarih, fiilen birlikte kullanıma geçildiği tarihtir.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(6) Sürenin bitiminden altı ay önce taraflardan biri yazılı olarak sona erdirme bildirimi yapmadıkça protokol aynı süreyle uzatılmış sayılır. Tarafların mutabakatı ile bir yıl önceden yazılı olarak bildirmek şartıyla protokol sona erdirilebilir. Fesih ya da protokolün sona erdirme kararı alındığında protokoller, içinde bulunulan mali yılın bitiminde sona erdirilir.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(7) Birlikte kullanım protokolü feshedildiğinde;</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a) Döner sermaye nakit hesabında yer alan tutar, birlikte kullanıma geçildiği tarihteki aktif ve pasif oranları dikkate alınmak sureti ile ayrılır ve Üniversitenin payı döner sermaye hesabına aktarılır.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b) Taşınır mal varlıkları, demirbaş kaydının olduğu tarafa devir tutanağı ile devredilir.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(8) Birlikte kullanımdaki sağlık tesisi tarafından, üniversitenin tıp fakültesi ve diş hekimliği fakültesi öğretim elemanları ve bunların kadrosunda bulunan öğretim elemanı dışındaki diğer personel ile ilgili fakülte dekanının görüşü alınarak, ayrı ayrı bireysel sözleşme imzalanabilir. Birlikte kullanımdaki üniversitenin tıp fakültesi ve diş hekimliği fakültesi dışındaki üniversite personeli ile de rektörün görüşü alınarak sözleşme imzalanabilir.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(9) Sözleşmelerde, sunulacak hizmetin niteliği, performans hedefleri ve süresi ile varsa eğitim ve hizmete ilişkin idari görev ve sorumluluklar yer alır. Öğretim elemanlarıyla yapılan sözleşmelerde mezuniyet öncesi ve mezuniyet sonrası eğitim ile bilimsel çalışmalara ilişkin yetki ve sorumluluklar ayrıca belirtilir.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(10) Sözleşme süresi en fazla üç yıldır. Süre sonunda tekrar sözleşme imzalanabilir. Sözleşme bitiminden bir ay önce tarafların aksine yazılı bildirimi yoksa sözleşme kendiliğinden birer yıllık sürelerle uzar. Ancak sözleşme şartlarına aykırı davranılması halinde veya performans hedeflerindeki gerçekleşmeler dikkate alınarak süresinden önce de sözleşmeler feshedilebilir. Sözleşmesi sona erdirilen veya yenilenmeyen üniversite personelinin hastanedeki görevi sona erer ve bu personel üniversitedeki diğer görevlerini yürütmeye devam eder.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(11) Süresinden önce hastane yönetimi tarafından sözleşmeler feshedilebileceği gibi dekanın uygun görüşü ile öğretim elemanı tarafından da sözleşme feshedilebilir. Bu talebe ilişkin işlemler hastane yönetimi tarafından eğitim ve sağlık hizmet sunumunda aksamalara sebebiyet vermeyecek şekilde en geç üç ay içerisinde tamamlanır.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(12) Birlikte kullanım kapsamında imzalanacak sözleşmelere esas teşkil etmek üzere ilgili fakültenin öğretim elemanı ve diğer personelinin listesi dekan tarafından görüşüyle birlikte kullanımdaki hastanenin başhekimliğine gönderilir.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(13) Bakanlıkça ilgili sağlık tesisine yapılacak eğitim görevlileri ve başasistan atamalarında eğitim ve araştırma hizmetleri açısından üniversitenin görüşü alınır.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Eğitim hizmetleri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8 – </w:t>
            </w:r>
            <w:r w:rsidRPr="007B2426">
              <w:rPr>
                <w:rFonts w:ascii="Times New Roman" w:eastAsia="Times New Roman" w:hAnsi="Times New Roman" w:cs="Times New Roman"/>
                <w:color w:val="000000" w:themeColor="text1"/>
                <w:sz w:val="24"/>
                <w:szCs w:val="24"/>
                <w:lang w:eastAsia="tr-TR"/>
              </w:rPr>
              <w:t xml:space="preserve">(1) </w:t>
            </w:r>
            <w:r w:rsidRPr="007827C8">
              <w:rPr>
                <w:rFonts w:ascii="Times New Roman" w:eastAsia="Times New Roman" w:hAnsi="Times New Roman" w:cs="Times New Roman"/>
                <w:color w:val="000000" w:themeColor="text1"/>
                <w:sz w:val="24"/>
                <w:szCs w:val="24"/>
                <w:highlight w:val="cyan"/>
                <w:lang w:eastAsia="tr-TR"/>
              </w:rPr>
              <w:t xml:space="preserve">Tıp ve diş hekimliğinde lisans ve uzmanlık eğitimleri, birlikte kullanımdaki sağlık tesislerinde ilgili mevzuat hükümleri çerçevesinde dekanın yetki ve sorumluluğunda yürütülür. </w:t>
            </w:r>
            <w:r w:rsidRPr="007827C8">
              <w:rPr>
                <w:rFonts w:ascii="Times New Roman" w:eastAsia="Times New Roman" w:hAnsi="Times New Roman" w:cs="Times New Roman"/>
                <w:color w:val="000000" w:themeColor="text1"/>
                <w:sz w:val="24"/>
                <w:szCs w:val="24"/>
                <w:highlight w:val="cyan"/>
                <w:lang w:eastAsia="tr-TR"/>
              </w:rPr>
              <w:lastRenderedPageBreak/>
              <w:t>Dekan ve başhekim eğitim, araştırma ve sağlık hizmetlerini aksatmayacak şekilde işbirliği içinde çalışarak gerekli tedbirlerin alınmasından ve planlamaların yapılmasından sorumludur.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Birlikte kullanımdaki lisans ve uzmanlık eğitimleri, Fakülte Kurulu ve Fakülte Yönetim Kurulu kararları doğrultusunda yürütülür. İlgili sağlık tesisinin eğitim görevlileri Dekanın daveti üzerine, Fakülte Kurulu ve Fakülte Yönetim Kurulu toplantılarına oy hakkı olmaksızın katılabilir.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Birlikte kullanılan sağlık tesisinde görev yapan profesör, doçent, doktor öğretim üyesi, eğitim görevlileri ve başasistanlar tıpta uzmanlık eğitim yetki ve sorumluluğunu taşırlar. Ancak, Dekan tarafından ihtiyaç duyulması halinde birlikte kullanılan sağlık tesisinde bulunan eğitim görevlileri ve başasistanlara lisans eğitiminde de sorumluluk verilebilir.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(4) Üniversitenin sağlık alanında ön lisans, lisans ve lisansüstü eğitim gören öğrencileri, uygulamalı eğitimlerini birlikte kullanılan sağlık tesisinin yanı sıra işbirliği protokolü imzalanan diğer sağlık tesislerinde de yapabilir.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827C8">
              <w:rPr>
                <w:rFonts w:ascii="Times New Roman" w:eastAsia="Times New Roman" w:hAnsi="Times New Roman" w:cs="Times New Roman"/>
                <w:color w:val="000000" w:themeColor="text1"/>
                <w:sz w:val="24"/>
                <w:szCs w:val="24"/>
                <w:highlight w:val="cyan"/>
                <w:lang w:eastAsia="tr-TR"/>
              </w:rPr>
              <w:t>(5) Eğitim hizmetlerinin aksamadan yürütülmesi için Dekan, başhekim görüşünü alarak varsa profesör yoksa doçent unvanlı öğretim üyelerinden birini, doçent de yoksa doktor öğretim üyesi veya eğitim görevlilerinden birini kurum eğitim sorumlusu olarak görevlendirir. Dekan veya kurum eğitim sorumlusu, yıllık lisans ve lisansüstü eğitim planlarını hazırlayarak performans hedeflerinde değerlendirilmek üzere başhekime sunar. Klinik derslere ilişkin zaman çizelgesi Başhekimce planlanır.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(6) Üniversitelerin sağlık uygulama ve araştırma merkezleri ile ağız ve diş sağlığı uygulama ve araştırma merkezlerinin uygulamaları üniversiteler tarafından işletilen hastanelerde ve sağlık tesislerinde veyahut üniversitelerin birlikte kullanım protokolü imzaladığı hastanelerde veya sağlık tesislerinde yapılabilir.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(7) Birlikte kullanım ve/veya işbirliği protokolü yapılan sağlık tesisinde görev yapan sağlık personeli, ihtiyaç halinde ön lisans, lisans, lisansüstü öğrencilerin klinik uygulamalarında başhekimin uygun görüşü ile üniversite tarafından görevlendirilebilir.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Sağlık tesisinin işletilmesi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9 – </w:t>
            </w:r>
            <w:r w:rsidRPr="007B2426">
              <w:rPr>
                <w:rFonts w:ascii="Times New Roman" w:eastAsia="Times New Roman" w:hAnsi="Times New Roman" w:cs="Times New Roman"/>
                <w:color w:val="000000" w:themeColor="text1"/>
                <w:sz w:val="24"/>
                <w:szCs w:val="24"/>
                <w:lang w:eastAsia="tr-TR"/>
              </w:rPr>
              <w:t>(1) Birlikte kullanımdaki sağlık tesisi, Bakanlık tarafından bu Yönetmelik hükümleri saklı kalmak kaydıyla, Bakanlığın tabi olduğu mevzuat uyarınca işletilir.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Sağlık tesisindeki her türlü sağlık ve destek hizmeti, üniversite personelinin sağlık hizmeti sunumu da dâhil olmak üzere Başhekimin sorumluluğundadır. Başhekim, eğitim ve sağlık hizmetlerinin aksamadan ve verimli şekilde yürütülmesi için ilgili mevzuat çerçevesinde her türlü tedbiri almaya yetkilidir ve bu konuda Dekan ile işbirliği içinde çalışır.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Birlikte kullanılan sağlık tesisleri ve ilgili birimlerde görevli öğretim elemanları ve eğitim görevlileri ile başasistanlar eğitim ve araştırma faaliyetlerinin yanında, ilgili mevzuatında öngörülen nöbetler dâhil, sağlık hizmetlerinin aksatılmadan sürekli bir şekilde yürütülmesine yönelik çalışmaları yerine getirmekle yükümlüdürler.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Eğitim sorumlusu ve idari sorumlunun görev ve yetkileri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10 –</w:t>
            </w:r>
            <w:r w:rsidRPr="007B2426">
              <w:rPr>
                <w:rFonts w:ascii="Times New Roman" w:eastAsia="Times New Roman" w:hAnsi="Times New Roman" w:cs="Times New Roman"/>
                <w:color w:val="000000" w:themeColor="text1"/>
                <w:sz w:val="24"/>
                <w:szCs w:val="24"/>
                <w:lang w:eastAsia="tr-TR"/>
              </w:rPr>
              <w:t xml:space="preserve"> (1) </w:t>
            </w:r>
            <w:r w:rsidRPr="007827C8">
              <w:rPr>
                <w:rFonts w:ascii="Times New Roman" w:eastAsia="Times New Roman" w:hAnsi="Times New Roman" w:cs="Times New Roman"/>
                <w:color w:val="000000" w:themeColor="text1"/>
                <w:sz w:val="24"/>
                <w:szCs w:val="24"/>
                <w:highlight w:val="yellow"/>
                <w:lang w:eastAsia="tr-TR"/>
              </w:rPr>
              <w:t>Eğitim sorumlusu,</w:t>
            </w:r>
            <w:r w:rsidRPr="007B2426">
              <w:rPr>
                <w:rFonts w:ascii="Times New Roman" w:eastAsia="Times New Roman" w:hAnsi="Times New Roman" w:cs="Times New Roman"/>
                <w:color w:val="000000" w:themeColor="text1"/>
                <w:sz w:val="24"/>
                <w:szCs w:val="24"/>
                <w:lang w:eastAsia="tr-TR"/>
              </w:rPr>
              <w:t xml:space="preserve"> müfredata uygun olarak ilgili mevzuat çerçevesinde tıpta ve diş hekimliğinde lisans ve uzmanlık eğitimlerinin planlanması, yürütülmesi ve denetiminden dekana karşı sorumludur. Birden fazla Üniversite ile birlikte kullanımdaki sağlık tesislerinin bütün klinik/laboratuvarlarında ilgili çekirdek eğitim müfredatına uygun tek bir program uygulanır.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 xml:space="preserve">(2) </w:t>
            </w:r>
            <w:r w:rsidR="007827C8" w:rsidRPr="007827C8">
              <w:rPr>
                <w:rFonts w:ascii="Times New Roman" w:eastAsia="Times New Roman" w:hAnsi="Times New Roman" w:cs="Times New Roman"/>
                <w:color w:val="000000" w:themeColor="text1"/>
                <w:sz w:val="24"/>
                <w:szCs w:val="24"/>
                <w:highlight w:val="yellow"/>
                <w:lang w:eastAsia="tr-TR"/>
              </w:rPr>
              <w:t>İdari Sorumlu,</w:t>
            </w:r>
            <w:r w:rsidR="007827C8">
              <w:rPr>
                <w:rFonts w:ascii="Times New Roman" w:eastAsia="Times New Roman" w:hAnsi="Times New Roman" w:cs="Times New Roman"/>
                <w:color w:val="000000" w:themeColor="text1"/>
                <w:sz w:val="24"/>
                <w:szCs w:val="24"/>
                <w:lang w:eastAsia="tr-TR"/>
              </w:rPr>
              <w:t xml:space="preserve"> </w:t>
            </w:r>
            <w:r w:rsidRPr="007B2426">
              <w:rPr>
                <w:rFonts w:ascii="Times New Roman" w:eastAsia="Times New Roman" w:hAnsi="Times New Roman" w:cs="Times New Roman"/>
                <w:color w:val="000000" w:themeColor="text1"/>
                <w:sz w:val="24"/>
                <w:szCs w:val="24"/>
                <w:lang w:eastAsia="tr-TR"/>
              </w:rPr>
              <w:t xml:space="preserve">İlgili klinik ve laboratuvarda sunulan sağlık hizmetinin yirmi dört saat esasına göre kesintisiz olarak yürütülmesi ve verimlilik ölçütlerinin gerektirdiği yönetsel önlemlerin alınması, mevcut kaynakların müşterek ve verimli bir şekilde kullanılması ile diğer birimler ve hastane yönetimiyle olan ilişkileri yürütmekle görevli olmak üzere bir idari sorumlu görevlendirilir. İdari sorumlu, bu görevlerin yürütülmesinden başhekime karşı sorumludur. </w:t>
            </w:r>
            <w:r w:rsidRPr="007827C8">
              <w:rPr>
                <w:rFonts w:ascii="Times New Roman" w:eastAsia="Times New Roman" w:hAnsi="Times New Roman" w:cs="Times New Roman"/>
                <w:color w:val="000000" w:themeColor="text1"/>
                <w:sz w:val="24"/>
                <w:szCs w:val="24"/>
                <w:highlight w:val="cyan"/>
                <w:lang w:eastAsia="tr-TR"/>
              </w:rPr>
              <w:t>Eğitim sorumlusuna aynı zamanda idari sorumluluk görevi de verilebilir.</w:t>
            </w: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lastRenderedPageBreak/>
              <w:t>Mali hususlar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11 – </w:t>
            </w:r>
            <w:r w:rsidRPr="007B2426">
              <w:rPr>
                <w:rFonts w:ascii="Times New Roman" w:eastAsia="Times New Roman" w:hAnsi="Times New Roman" w:cs="Times New Roman"/>
                <w:color w:val="000000" w:themeColor="text1"/>
                <w:sz w:val="24"/>
                <w:szCs w:val="24"/>
                <w:lang w:eastAsia="tr-TR"/>
              </w:rPr>
              <w:t>(1) Birlikte kullanımdaki sağlık tesisleri, sundukları sağlık hizmetleri bakımından </w:t>
            </w:r>
            <w:proofErr w:type="gramStart"/>
            <w:r w:rsidRPr="007B2426">
              <w:rPr>
                <w:rFonts w:ascii="Times New Roman" w:eastAsia="Times New Roman" w:hAnsi="Times New Roman" w:cs="Times New Roman"/>
                <w:color w:val="000000" w:themeColor="text1"/>
                <w:sz w:val="24"/>
                <w:szCs w:val="24"/>
                <w:lang w:eastAsia="tr-TR"/>
              </w:rPr>
              <w:t>31/5/2006</w:t>
            </w:r>
            <w:proofErr w:type="gramEnd"/>
            <w:r w:rsidRPr="007B2426">
              <w:rPr>
                <w:rFonts w:ascii="Times New Roman" w:eastAsia="Times New Roman" w:hAnsi="Times New Roman" w:cs="Times New Roman"/>
                <w:color w:val="000000" w:themeColor="text1"/>
                <w:sz w:val="24"/>
                <w:szCs w:val="24"/>
                <w:lang w:eastAsia="tr-TR"/>
              </w:rPr>
              <w:t> tarihli ve 5510 sayılı Sosyal Sigortalar ve Genel Sağlık Sigortası Kanununun 72 </w:t>
            </w:r>
            <w:proofErr w:type="spellStart"/>
            <w:r w:rsidRPr="007B2426">
              <w:rPr>
                <w:rFonts w:ascii="Times New Roman" w:eastAsia="Times New Roman" w:hAnsi="Times New Roman" w:cs="Times New Roman"/>
                <w:color w:val="000000" w:themeColor="text1"/>
                <w:sz w:val="24"/>
                <w:szCs w:val="24"/>
                <w:lang w:eastAsia="tr-TR"/>
              </w:rPr>
              <w:t>nci</w:t>
            </w:r>
            <w:proofErr w:type="spellEnd"/>
            <w:r w:rsidRPr="007B2426">
              <w:rPr>
                <w:rFonts w:ascii="Times New Roman" w:eastAsia="Times New Roman" w:hAnsi="Times New Roman" w:cs="Times New Roman"/>
                <w:color w:val="000000" w:themeColor="text1"/>
                <w:sz w:val="24"/>
                <w:szCs w:val="24"/>
                <w:lang w:eastAsia="tr-TR"/>
              </w:rPr>
              <w:t> maddesinin uygulanmasında, üniversite hastanesi statüsündedir.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Birlikte kullanıma geçilen sağlık tesislerinin döner sermaye hesapları, sadece birlikte kullanılan birimlerle sınırlı ve birlikte kullanıma geçildikten sonraki tasarruflara etkili olmak kaydıyla birleştirilir. Birlikte kullanım sona erdiğinde döner sermaye hesabı, hukuki ve fiziki olarak ayrılması ve bölünmesi mümkün olmayanlar hariç olmak üzere yeniden ayrılır.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Ek Ödeme Yönetmeliğinin uygulanmasında, </w:t>
            </w:r>
            <w:proofErr w:type="gramStart"/>
            <w:r w:rsidRPr="007B2426">
              <w:rPr>
                <w:rFonts w:ascii="Times New Roman" w:eastAsia="Times New Roman" w:hAnsi="Times New Roman" w:cs="Times New Roman"/>
                <w:color w:val="000000" w:themeColor="text1"/>
                <w:sz w:val="24"/>
                <w:szCs w:val="24"/>
                <w:lang w:eastAsia="tr-TR"/>
              </w:rPr>
              <w:t>4/11/1981</w:t>
            </w:r>
            <w:proofErr w:type="gramEnd"/>
            <w:r w:rsidRPr="007B2426">
              <w:rPr>
                <w:rFonts w:ascii="Times New Roman" w:eastAsia="Times New Roman" w:hAnsi="Times New Roman" w:cs="Times New Roman"/>
                <w:color w:val="000000" w:themeColor="text1"/>
                <w:sz w:val="24"/>
                <w:szCs w:val="24"/>
                <w:lang w:eastAsia="tr-TR"/>
              </w:rPr>
              <w:t xml:space="preserve"> tarihli ve 2547 sayılı Yükseköğretim Kanununun 58 inci maddesinin (c) fıkrasının (1) numaralı bendinde sayılan ve ilgili fakültenin temel tıp bilimlerinde görev yapan öğretim üyesi, öğretim görevlisi ve araştırma görevlisi ile birlikte kullanımdaki sağlık tesislerinde fiilen görev yapan personelden; üniversite personeli için 2547 sayılı Yükseköğretim Kanununun 58 inci maddesinde öngörülen ek ödeme matrahı ve tavan ek ödeme oranları, Bakanlık personeli için ise 4/1/1961 tarihli ve 209 sayılı Sağlık Bakanlığına Bağlı Sağlık Kurumları ile </w:t>
            </w:r>
            <w:proofErr w:type="spellStart"/>
            <w:r w:rsidRPr="007B2426">
              <w:rPr>
                <w:rFonts w:ascii="Times New Roman" w:eastAsia="Times New Roman" w:hAnsi="Times New Roman" w:cs="Times New Roman"/>
                <w:color w:val="000000" w:themeColor="text1"/>
                <w:sz w:val="24"/>
                <w:szCs w:val="24"/>
                <w:lang w:eastAsia="tr-TR"/>
              </w:rPr>
              <w:t>Esenlendirme</w:t>
            </w:r>
            <w:proofErr w:type="spellEnd"/>
            <w:r w:rsidRPr="007B2426">
              <w:rPr>
                <w:rFonts w:ascii="Times New Roman" w:eastAsia="Times New Roman" w:hAnsi="Times New Roman" w:cs="Times New Roman"/>
                <w:color w:val="000000" w:themeColor="text1"/>
                <w:sz w:val="24"/>
                <w:szCs w:val="24"/>
                <w:lang w:eastAsia="tr-TR"/>
              </w:rPr>
              <w:t xml:space="preserve"> (Rehabilitasyon) Tesislerine Verilecek Döner Sermaye Hakkında Kanunun 5 inci maddesinde öngörülen ek ödeme matrahı ve tavan ek ödeme oranları dikkate alınır.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(4) Birlikte kullanımdaki sağlık tesisinin döner sermaye gelirlerinden; ilgili mevzuatı gereğince Hazine payı, </w:t>
            </w:r>
            <w:proofErr w:type="gramStart"/>
            <w:r w:rsidRPr="007B2426">
              <w:rPr>
                <w:rFonts w:ascii="Times New Roman" w:eastAsia="Times New Roman" w:hAnsi="Times New Roman" w:cs="Times New Roman"/>
                <w:color w:val="000000" w:themeColor="text1"/>
                <w:sz w:val="24"/>
                <w:szCs w:val="24"/>
                <w:lang w:eastAsia="tr-TR"/>
              </w:rPr>
              <w:t>24/5/1983</w:t>
            </w:r>
            <w:proofErr w:type="gramEnd"/>
            <w:r w:rsidRPr="007B2426">
              <w:rPr>
                <w:rFonts w:ascii="Times New Roman" w:eastAsia="Times New Roman" w:hAnsi="Times New Roman" w:cs="Times New Roman"/>
                <w:color w:val="000000" w:themeColor="text1"/>
                <w:sz w:val="24"/>
                <w:szCs w:val="24"/>
                <w:lang w:eastAsia="tr-TR"/>
              </w:rPr>
              <w:t> tarihli ve 2828 sayılı Sosyal Hizmetler Kanununun 18 inci maddesinin birinci fıkrasının (k) bendi gereğince ayrılacak pay ile Bakanlık merkez payı ayrılır. Kalan miktar, 209 sayılı Kanunun 5 inci maddesinin üçüncü fıkrasında belirlenen oranları geçmeyecek şekilde Ek Ödeme Yönetmeliği hükümlerine göre personele ek ödeme olarak dağıtılır.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(5) Rektör, rektör yardımcıları ve üniversite genel sekreterine, ilgili birimin dekan ve dekan yardımcılarına 2547 sayılı Kanunun 58 inci maddesi gereğince yönetici payı olarak yapılacak ek ödeme, dağıtılabilecek tutardan olmak kaydıyla üniversite yönetim kurulunun belirleyeceği karara dayalı olarak sağlık tesisinin/sağlık tesislerinden birisinin döner sermaye hesabından yapılır. Birden fazla üniversite ile birlikte kullanılan sağlık tesislerinde görev yapan öğretim elemanı sayısı en fazla olan üniversitenin rektör, rektör yardımcıları ve genel sekreteri ile ilgili fakülte dekan ve dekan yardımcılarına aynı usul çerçevesinde yönetici payı ödenir.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(6) Birlikte kullanımdaki sağlık tesislerinde üniversitenin eğitim sorumluluğunda olan uygulamalı eğitimle ilgili giderler sağlık tesisinin döner sermaye gelirlerinden karşılanır. Bu fıkranın uygulanması ile ilgili sorunlar rektörün önerisi üzerine Bakanlık tarafından giderilir.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(7) Birlikte kullanım protokolü yapılan üniversite sağlık birimlerinin Sosyal Güvenlik Kurumundan alacakları tutar, 5510 sayılı Sosyal Sigortalar ve Genel Sağlık Sigortası Kanununun 73 üncü maddesi çerçevesinde Bakanlık için belirlenen götürü hizmet bedeline eklenir.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7B2426">
              <w:rPr>
                <w:rFonts w:ascii="Times New Roman" w:eastAsia="Times New Roman" w:hAnsi="Times New Roman" w:cs="Times New Roman"/>
                <w:color w:val="000000" w:themeColor="text1"/>
                <w:sz w:val="24"/>
                <w:szCs w:val="24"/>
                <w:lang w:eastAsia="tr-TR"/>
              </w:rPr>
              <w:t>(8) Birlikte kullanımdaki sağlık tesislerinde Ek Ödeme Yönetmeliğinin uygulanmasında; Ek Ödeme Yönetmeliğine göre gelir getirici faaliyeti ve tıbbi işlemler puanı üretme imkânı bulunmayan personelin kadro-unvan katsayıları; profesörler için 1,5, doçentler için 1,2, doktor öğretim üyesi için 1,0, tıpta uzmanlık mevzuatına göre atanan araştırma görevlileri için bakanlık kadrosunda görevli asistanlara uygulanan oran ve tıpta uzmanlık mevzuatına tabi olmaksızın atanan araştırma görevlileri için 0,4 olarak uygulanır. </w:t>
            </w:r>
            <w:proofErr w:type="gramEnd"/>
            <w:r w:rsidRPr="007B2426">
              <w:rPr>
                <w:rFonts w:ascii="Times New Roman" w:eastAsia="Times New Roman" w:hAnsi="Times New Roman" w:cs="Times New Roman"/>
                <w:color w:val="000000" w:themeColor="text1"/>
                <w:sz w:val="24"/>
                <w:szCs w:val="24"/>
                <w:lang w:eastAsia="tr-TR"/>
              </w:rPr>
              <w:t>Ek Ödeme Yönetmeliğine göre puan üretme </w:t>
            </w:r>
            <w:proofErr w:type="gramStart"/>
            <w:r w:rsidRPr="007B2426">
              <w:rPr>
                <w:rFonts w:ascii="Times New Roman" w:eastAsia="Times New Roman" w:hAnsi="Times New Roman" w:cs="Times New Roman"/>
                <w:color w:val="000000" w:themeColor="text1"/>
                <w:sz w:val="24"/>
                <w:szCs w:val="24"/>
                <w:lang w:eastAsia="tr-TR"/>
              </w:rPr>
              <w:t>imkanı</w:t>
            </w:r>
            <w:proofErr w:type="gramEnd"/>
            <w:r w:rsidRPr="007B2426">
              <w:rPr>
                <w:rFonts w:ascii="Times New Roman" w:eastAsia="Times New Roman" w:hAnsi="Times New Roman" w:cs="Times New Roman"/>
                <w:color w:val="000000" w:themeColor="text1"/>
                <w:sz w:val="24"/>
                <w:szCs w:val="24"/>
                <w:lang w:eastAsia="tr-TR"/>
              </w:rPr>
              <w:t> bulunan üniversite kadrosundaki profesör ve doçentler için eğitim görevlisi kadro- unvan katsayısı, doktor öğretim üyesi için başasistan kadro-unvan katsayısı kullanılır. Üniversite kadrosunda bulunan personelden yan dal uzmanlık eğitimini tamamlamış olan ve bu alanda çalışanlar için Ek Ödeme Yönetmeliğinde yan dal unvanları için öngörülen kadro-unvan katsayıları uygulanır. Birlikte kullanım kapsamında görev yapan üniversite kadrosundaki diş hekimi unvanlı personelin kadro-unvan katsayıları; profesörler için 1,8, doçentler için 1,7, doktor öğretim üyesi için 1,5 olarak uygulanır.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(9) Ek ödemelerin hesaplanmasında bu Yönetmelikte hüküm bulunmayan hallerde Ek Ödeme Yönetmeliği hükümleri esas alınır.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lastRenderedPageBreak/>
              <w:t>(10) Birlikte kullanımdaki sağlık tesislerinde mesai sonrası hizmetler için 5510 sayılı Sosyal Sigortalar ve Genel Sağlık Sigortası Kanununun 73 üncü maddesinin üçüncü fıkrasında tanımlanan ilave ücret alınamaz.</w:t>
            </w:r>
          </w:p>
          <w:p w:rsidR="007B2426" w:rsidRDefault="007B2426"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p>
          <w:p w:rsidR="007B2426" w:rsidRDefault="007B2426"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ÜÇÜNCÜ BÖLÜM</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İşbirliğine İlişkin Uygulama Esasları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İşbirliğine ait esaslar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12 – </w:t>
            </w:r>
            <w:r w:rsidRPr="007B2426">
              <w:rPr>
                <w:rFonts w:ascii="Times New Roman" w:eastAsia="Times New Roman" w:hAnsi="Times New Roman" w:cs="Times New Roman"/>
                <w:color w:val="000000" w:themeColor="text1"/>
                <w:sz w:val="24"/>
                <w:szCs w:val="24"/>
                <w:lang w:eastAsia="tr-TR"/>
              </w:rPr>
              <w:t>(1) Bakanlığa bağlı sağlık tesisleri ile üniversitelerin sağlık bilimleri eğitimi veren birimleri arasında, birlikte kullanım dışında döner sermayesi ve kurumları ayrı ve bağımsız olmak suretiyle eğitim, araştırma, sağlık hizmeti üretimi ve kamu sağlığını geliştirme gibi alanlarda işbirliği yapılabilir. Sağlık tesisi, üniversiteler ile işbirliği protokolünü klinik ya da </w:t>
            </w:r>
            <w:proofErr w:type="gramStart"/>
            <w:r w:rsidRPr="007B2426">
              <w:rPr>
                <w:rFonts w:ascii="Times New Roman" w:eastAsia="Times New Roman" w:hAnsi="Times New Roman" w:cs="Times New Roman"/>
                <w:color w:val="000000" w:themeColor="text1"/>
                <w:sz w:val="24"/>
                <w:szCs w:val="24"/>
                <w:lang w:eastAsia="tr-TR"/>
              </w:rPr>
              <w:t>branş</w:t>
            </w:r>
            <w:proofErr w:type="gramEnd"/>
            <w:r w:rsidRPr="007B2426">
              <w:rPr>
                <w:rFonts w:ascii="Times New Roman" w:eastAsia="Times New Roman" w:hAnsi="Times New Roman" w:cs="Times New Roman"/>
                <w:color w:val="000000" w:themeColor="text1"/>
                <w:sz w:val="24"/>
                <w:szCs w:val="24"/>
                <w:lang w:eastAsia="tr-TR"/>
              </w:rPr>
              <w:t> bazlı da yapabilir.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Eğitim alanında yapılacak işbirliği, birlikte kullanım protokolleri kapsamı dışında kalan ön lisans, lisans ve lisansüstü eğitimler, doktora sonrası araştırma ve hizmet içi eğitimleri ile tıpta ve diş hekimliğinde uzmanlık eğitimlerini kapsar.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Sağlık hizmeti sunumu kapsamı dışında, tıbbi ve bilimsel danışmanlık ile </w:t>
            </w:r>
            <w:proofErr w:type="gramStart"/>
            <w:r w:rsidRPr="007B2426">
              <w:rPr>
                <w:rFonts w:ascii="Times New Roman" w:eastAsia="Times New Roman" w:hAnsi="Times New Roman" w:cs="Times New Roman"/>
                <w:color w:val="000000" w:themeColor="text1"/>
                <w:sz w:val="24"/>
                <w:szCs w:val="24"/>
                <w:lang w:eastAsia="tr-TR"/>
              </w:rPr>
              <w:t>konsültasyon</w:t>
            </w:r>
            <w:proofErr w:type="gramEnd"/>
            <w:r w:rsidRPr="007B2426">
              <w:rPr>
                <w:rFonts w:ascii="Times New Roman" w:eastAsia="Times New Roman" w:hAnsi="Times New Roman" w:cs="Times New Roman"/>
                <w:color w:val="000000" w:themeColor="text1"/>
                <w:sz w:val="24"/>
                <w:szCs w:val="24"/>
                <w:lang w:eastAsia="tr-TR"/>
              </w:rPr>
              <w:t> hizmeti verilebilir. Araştırma kapsamında; bilimsel araştırma ve geliştirme ile proje çalışmaları yapılabilir.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(4) İşbirliği kapsamında sağlık hizmeti sunumu için görevlendirilen personele ilgili mevzuatı çerçevesinde ek ödeme yapılır.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İşbirliği protokolünün imzalanması, feshi ve diğer uygulama esasları</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13 – </w:t>
            </w:r>
            <w:r w:rsidRPr="007B2426">
              <w:rPr>
                <w:rFonts w:ascii="Times New Roman" w:eastAsia="Times New Roman" w:hAnsi="Times New Roman" w:cs="Times New Roman"/>
                <w:color w:val="000000" w:themeColor="text1"/>
                <w:sz w:val="24"/>
                <w:szCs w:val="24"/>
                <w:lang w:eastAsia="tr-TR"/>
              </w:rPr>
              <w:t>(1) İşbirliği protokolü, Bakanlığın ve YÖK’ün uygun görüşü alınarak Vali ve Rektör tarafından imzalanarak yürürlüğe girer ve Bakanlığa ve YÖK’e bildirilir. Gerekli görülmesi halinde Bakanlık ve YÖK çerçeve işbirliği protokolü hazırlayabilir.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Protokolün imzalanmasından itibaren altı ay içerisinde fiilen işbirliğine başlanır. İşbirliğinin fiilen başlama tarihi bir tutanak ile tespit edilerek Bakanlığa ve YÖK’e bildirilir. Bu süre içerisinde fiilen işbirliğine başlanmaması halinde protokol feshedilmiş sayılır. İşbirliği protokolleri, protokol hükümlerinde yer alan sürelerde geçerlidir.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İşbirliği protokolünün feshi halinde; taşınır mal varlıkları, taşınırın kaydının olduğu tarafa devir tutanağı ile devredilir.</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DÖRDÜNCÜ BÖLÜM</w:t>
            </w:r>
          </w:p>
          <w:p w:rsidR="00350415" w:rsidRPr="007B2426" w:rsidRDefault="00350415" w:rsidP="00350415">
            <w:pPr>
              <w:tabs>
                <w:tab w:val="left" w:pos="9214"/>
                <w:tab w:val="left" w:pos="9639"/>
              </w:tabs>
              <w:spacing w:after="0" w:line="240" w:lineRule="atLeast"/>
              <w:jc w:val="both"/>
              <w:rPr>
                <w:rFonts w:ascii="Times New Roman" w:eastAsia="Times New Roman" w:hAnsi="Times New Roman" w:cs="Times New Roman"/>
                <w:b/>
                <w:bCs/>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Çeşitli ve Son Hükümler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Personelin disiplin ve özlük işlemleri</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14 – </w:t>
            </w:r>
            <w:r w:rsidRPr="007B2426">
              <w:rPr>
                <w:rFonts w:ascii="Times New Roman" w:eastAsia="Times New Roman" w:hAnsi="Times New Roman" w:cs="Times New Roman"/>
                <w:color w:val="000000" w:themeColor="text1"/>
                <w:sz w:val="24"/>
                <w:szCs w:val="24"/>
                <w:lang w:eastAsia="tr-TR"/>
              </w:rPr>
              <w:t>(1) Birlikte kullanılan sağlık tesisinde görev yapan personel disiplin ve tüm özlük işlemleri ile sosyal güvenlik bakımından kadrosunun bulunduğu kurumun ilgili mevzuatına tabidir.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(2) Sağlık tesisinde hizmet veren üniversite personeliyle ilgili hasta hakları başvuruları Hastane Hasta Hakları Kurulu tarafından değerlendirilir. Hasta hakları başvurusu ile ilgili ihlal kararı verilmesi durumunda, başvuru hakkında işlem yapılabilmesi için dosya ilgili Rektörlüğe gönderilir. Disiplin ve ceza hükümlerinin uygulanması bakımından personelin kadrosunun bulunduğu kurumun tabi olduğu mevzuat hükümleri geçerlidir.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color w:val="000000" w:themeColor="text1"/>
                <w:sz w:val="24"/>
                <w:szCs w:val="24"/>
                <w:lang w:eastAsia="tr-TR"/>
              </w:rPr>
              <w:t>(3) Birlikte kullanım protokolü imzalanan sağlık tesisinde görevli öğretim elemanları ve uzmanlık öğrencileri ile eğitimde görev alan Bakanlığa bağlı personel ve doğrudan kliniklere/laboratuvarlara bağlı olarak çalışan sağlık personelinin kongrelere gidişleri de </w:t>
            </w:r>
            <w:proofErr w:type="gramStart"/>
            <w:r w:rsidRPr="007B2426">
              <w:rPr>
                <w:rFonts w:ascii="Times New Roman" w:eastAsia="Times New Roman" w:hAnsi="Times New Roman" w:cs="Times New Roman"/>
                <w:color w:val="000000" w:themeColor="text1"/>
                <w:sz w:val="24"/>
                <w:szCs w:val="24"/>
                <w:lang w:eastAsia="tr-TR"/>
              </w:rPr>
              <w:t>dahil</w:t>
            </w:r>
            <w:proofErr w:type="gramEnd"/>
            <w:r w:rsidRPr="007B2426">
              <w:rPr>
                <w:rFonts w:ascii="Times New Roman" w:eastAsia="Times New Roman" w:hAnsi="Times New Roman" w:cs="Times New Roman"/>
                <w:color w:val="000000" w:themeColor="text1"/>
                <w:sz w:val="24"/>
                <w:szCs w:val="24"/>
                <w:lang w:eastAsia="tr-TR"/>
              </w:rPr>
              <w:t> olmak üzere izin ve benzeri özlük işlemleri sırasıyla klinik/laboratuvar idari sorumlusu, eğitim sorumlusu ve hastane başhekiminin uygun görüşü alınmak kaydıyla kadrosunun bulunduğu kurumun mevzuatına göre yürütülür. Diğer personel bakımından ise çalıştığı birim amirinin onayı alındıktan sonra kadrosunun bulunduğu kurumun mevzuatına göre yürütülür.</w:t>
            </w: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620A3D" w:rsidRDefault="00620A3D"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bookmarkStart w:id="0" w:name="_GoBack"/>
            <w:bookmarkEnd w:id="0"/>
            <w:r w:rsidRPr="007B2426">
              <w:rPr>
                <w:rFonts w:ascii="Times New Roman" w:eastAsia="Times New Roman" w:hAnsi="Times New Roman" w:cs="Times New Roman"/>
                <w:b/>
                <w:bCs/>
                <w:color w:val="000000" w:themeColor="text1"/>
                <w:sz w:val="24"/>
                <w:szCs w:val="24"/>
                <w:lang w:eastAsia="tr-TR"/>
              </w:rPr>
              <w:lastRenderedPageBreak/>
              <w:t>Yürürlükten kaldırılan yönetmelik</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15 – </w:t>
            </w:r>
            <w:r w:rsidRPr="007B2426">
              <w:rPr>
                <w:rFonts w:ascii="Times New Roman" w:eastAsia="Times New Roman" w:hAnsi="Times New Roman" w:cs="Times New Roman"/>
                <w:color w:val="000000" w:themeColor="text1"/>
                <w:sz w:val="24"/>
                <w:szCs w:val="24"/>
                <w:lang w:eastAsia="tr-TR"/>
              </w:rPr>
              <w:t>(1) </w:t>
            </w:r>
            <w:proofErr w:type="gramStart"/>
            <w:r w:rsidRPr="007B2426">
              <w:rPr>
                <w:rFonts w:ascii="Times New Roman" w:eastAsia="Times New Roman" w:hAnsi="Times New Roman" w:cs="Times New Roman"/>
                <w:color w:val="000000" w:themeColor="text1"/>
                <w:sz w:val="24"/>
                <w:szCs w:val="24"/>
                <w:lang w:eastAsia="tr-TR"/>
              </w:rPr>
              <w:t>16/6/2017</w:t>
            </w:r>
            <w:proofErr w:type="gramEnd"/>
            <w:r w:rsidRPr="007B2426">
              <w:rPr>
                <w:rFonts w:ascii="Times New Roman" w:eastAsia="Times New Roman" w:hAnsi="Times New Roman" w:cs="Times New Roman"/>
                <w:color w:val="000000" w:themeColor="text1"/>
                <w:sz w:val="24"/>
                <w:szCs w:val="24"/>
                <w:lang w:eastAsia="tr-TR"/>
              </w:rPr>
              <w:t xml:space="preserve"> tarihli ve 30098 sayılı Resmî </w:t>
            </w:r>
            <w:proofErr w:type="spellStart"/>
            <w:r w:rsidRPr="007B2426">
              <w:rPr>
                <w:rFonts w:ascii="Times New Roman" w:eastAsia="Times New Roman" w:hAnsi="Times New Roman" w:cs="Times New Roman"/>
                <w:color w:val="000000" w:themeColor="text1"/>
                <w:sz w:val="24"/>
                <w:szCs w:val="24"/>
                <w:lang w:eastAsia="tr-TR"/>
              </w:rPr>
              <w:t>Gazete’de</w:t>
            </w:r>
            <w:proofErr w:type="spellEnd"/>
            <w:r w:rsidRPr="007B2426">
              <w:rPr>
                <w:rFonts w:ascii="Times New Roman" w:eastAsia="Times New Roman" w:hAnsi="Times New Roman" w:cs="Times New Roman"/>
                <w:color w:val="000000" w:themeColor="text1"/>
                <w:sz w:val="24"/>
                <w:szCs w:val="24"/>
                <w:lang w:eastAsia="tr-TR"/>
              </w:rPr>
              <w:t xml:space="preserve"> yayımlanan Sağlık Bakanlığına Ait Kurum ve Kuruluşlar ile Devlet Üniversitelerinin İlgili Birimlerinin Birlikte Kullanımı ile İşbirliği Usul ve Esasları Hakkında Yönetmelik yürürlükten kaldırılmıştır.</w:t>
            </w:r>
          </w:p>
          <w:p w:rsidR="007B2426" w:rsidRDefault="007B2426"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7B2426" w:rsidRDefault="007B2426" w:rsidP="00350415">
            <w:pPr>
              <w:tabs>
                <w:tab w:val="left" w:pos="9214"/>
                <w:tab w:val="left" w:pos="9639"/>
              </w:tabs>
              <w:spacing w:after="0" w:line="240" w:lineRule="atLeast"/>
              <w:ind w:firstLine="566"/>
              <w:jc w:val="both"/>
              <w:rPr>
                <w:rFonts w:ascii="Times New Roman" w:eastAsia="Times New Roman" w:hAnsi="Times New Roman" w:cs="Times New Roman"/>
                <w:b/>
                <w:bCs/>
                <w:color w:val="000000" w:themeColor="text1"/>
                <w:sz w:val="24"/>
                <w:szCs w:val="24"/>
                <w:lang w:eastAsia="tr-TR"/>
              </w:rPr>
            </w:pP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Protokollerin uyumu</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GEÇİCİ MADDE 1 – </w:t>
            </w:r>
            <w:r w:rsidRPr="007B2426">
              <w:rPr>
                <w:rFonts w:ascii="Times New Roman" w:eastAsia="Times New Roman" w:hAnsi="Times New Roman" w:cs="Times New Roman"/>
                <w:color w:val="000000" w:themeColor="text1"/>
                <w:sz w:val="24"/>
                <w:szCs w:val="24"/>
                <w:lang w:eastAsia="tr-TR"/>
              </w:rPr>
              <w:t>(1) Bu Yönetmeliğin yayımından önce imzalanmış olan protokoller bu Yönetmeliğin yayımı tarihinden itibaren üç ay içerisinde bu Yönetmelik hükümlerine uygun hale getirilir.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Yürürlük</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16 – </w:t>
            </w:r>
            <w:r w:rsidRPr="007B2426">
              <w:rPr>
                <w:rFonts w:ascii="Times New Roman" w:eastAsia="Times New Roman" w:hAnsi="Times New Roman" w:cs="Times New Roman"/>
                <w:color w:val="000000" w:themeColor="text1"/>
                <w:sz w:val="24"/>
                <w:szCs w:val="24"/>
                <w:lang w:eastAsia="tr-TR"/>
              </w:rPr>
              <w:t>(1) Bu Yönetmelik yayımı tarihinde yürürlüğe girer.</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Yürütme</w:t>
            </w:r>
          </w:p>
          <w:p w:rsidR="00350415" w:rsidRPr="007B2426" w:rsidRDefault="00350415" w:rsidP="00350415">
            <w:pPr>
              <w:tabs>
                <w:tab w:val="left" w:pos="9214"/>
                <w:tab w:val="left" w:pos="9639"/>
              </w:tabs>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B2426">
              <w:rPr>
                <w:rFonts w:ascii="Times New Roman" w:eastAsia="Times New Roman" w:hAnsi="Times New Roman" w:cs="Times New Roman"/>
                <w:b/>
                <w:bCs/>
                <w:color w:val="000000" w:themeColor="text1"/>
                <w:sz w:val="24"/>
                <w:szCs w:val="24"/>
                <w:lang w:eastAsia="tr-TR"/>
              </w:rPr>
              <w:t>MADDE 17 –</w:t>
            </w:r>
            <w:r w:rsidRPr="007B2426">
              <w:rPr>
                <w:rFonts w:ascii="Times New Roman" w:eastAsia="Times New Roman" w:hAnsi="Times New Roman" w:cs="Times New Roman"/>
                <w:color w:val="000000" w:themeColor="text1"/>
                <w:sz w:val="24"/>
                <w:szCs w:val="24"/>
                <w:lang w:eastAsia="tr-TR"/>
              </w:rPr>
              <w:t> (1) Bu Yönetmelik hükümlerini Sağlık Bakanı yürütür.</w:t>
            </w:r>
          </w:p>
        </w:tc>
      </w:tr>
    </w:tbl>
    <w:p w:rsidR="00FF0698" w:rsidRPr="007B2426" w:rsidRDefault="00FF0698" w:rsidP="00350415">
      <w:pPr>
        <w:tabs>
          <w:tab w:val="left" w:pos="9214"/>
          <w:tab w:val="left" w:pos="9639"/>
        </w:tabs>
        <w:jc w:val="both"/>
        <w:rPr>
          <w:rFonts w:ascii="Times New Roman" w:hAnsi="Times New Roman" w:cs="Times New Roman"/>
          <w:color w:val="000000" w:themeColor="text1"/>
          <w:sz w:val="24"/>
          <w:szCs w:val="24"/>
        </w:rPr>
      </w:pPr>
    </w:p>
    <w:sectPr w:rsidR="00FF0698" w:rsidRPr="007B2426" w:rsidSect="00350415">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15"/>
    <w:rsid w:val="00216B5F"/>
    <w:rsid w:val="00350415"/>
    <w:rsid w:val="00620A3D"/>
    <w:rsid w:val="007827C8"/>
    <w:rsid w:val="007B2426"/>
    <w:rsid w:val="00DA0563"/>
    <w:rsid w:val="00EB1879"/>
    <w:rsid w:val="00FF0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475E6-31C5-4893-BCA5-998E6DDC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04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504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04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0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0415"/>
  </w:style>
  <w:style w:type="character" w:customStyle="1" w:styleId="spelle">
    <w:name w:val="spelle"/>
    <w:basedOn w:val="VarsaylanParagrafYazTipi"/>
    <w:rsid w:val="0035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3461</Words>
  <Characters>19730</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MuhammetBir</dc:creator>
  <cp:keywords/>
  <dc:description/>
  <cp:lastModifiedBy>MuhammetBir</cp:lastModifiedBy>
  <cp:revision>13</cp:revision>
  <dcterms:created xsi:type="dcterms:W3CDTF">2021-09-29T08:17:00Z</dcterms:created>
  <dcterms:modified xsi:type="dcterms:W3CDTF">2021-09-30T06:21:00Z</dcterms:modified>
</cp:coreProperties>
</file>