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tblInd w:w="-866" w:type="dxa"/>
        <w:tblCellMar>
          <w:top w:w="7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545"/>
        <w:gridCol w:w="3118"/>
        <w:gridCol w:w="3969"/>
      </w:tblGrid>
      <w:tr w:rsidR="00342F3B" w14:paraId="2A43DE69" w14:textId="77777777" w:rsidTr="007B600A">
        <w:trPr>
          <w:trHeight w:val="1237"/>
        </w:trPr>
        <w:tc>
          <w:tcPr>
            <w:tcW w:w="35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A4032D7" w14:textId="2258272C" w:rsidR="00342F3B" w:rsidRDefault="00342F3B" w:rsidP="00AF47BE">
            <w:pPr>
              <w:spacing w:after="105" w:line="259" w:lineRule="auto"/>
              <w:rPr>
                <w:b/>
                <w:i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22785484" wp14:editId="15DFA7C0">
                  <wp:simplePos x="0" y="0"/>
                  <wp:positionH relativeFrom="page">
                    <wp:posOffset>838200</wp:posOffset>
                  </wp:positionH>
                  <wp:positionV relativeFrom="page">
                    <wp:posOffset>142875</wp:posOffset>
                  </wp:positionV>
                  <wp:extent cx="672465" cy="833120"/>
                  <wp:effectExtent l="0" t="0" r="0" b="5080"/>
                  <wp:wrapTopAndBottom/>
                  <wp:docPr id="174" name="Picture 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Picture 1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83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8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D9D04DA" w14:textId="77777777" w:rsidR="00AF47BE" w:rsidRPr="00AF47BE" w:rsidRDefault="00AF47BE" w:rsidP="00AF47BE">
            <w:pPr>
              <w:spacing w:after="105" w:line="259" w:lineRule="auto"/>
              <w:rPr>
                <w:b/>
                <w:i w:val="0"/>
                <w:sz w:val="6"/>
                <w:szCs w:val="6"/>
              </w:rPr>
            </w:pPr>
          </w:p>
          <w:p w14:paraId="0848C15D" w14:textId="77777777" w:rsidR="00101C4B" w:rsidRDefault="00342F3B" w:rsidP="00101C4B">
            <w:pPr>
              <w:spacing w:after="105" w:line="259" w:lineRule="auto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SAĞLIK BİLİMLERİ ÜNİVERSİTESİ</w:t>
            </w:r>
          </w:p>
          <w:p w14:paraId="286A665B" w14:textId="45F0EA43" w:rsidR="00101C4B" w:rsidRDefault="00342F3B" w:rsidP="00101C4B">
            <w:pPr>
              <w:spacing w:after="105" w:line="259" w:lineRule="auto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GÜLHANE SAĞLIK MESLEK YÜKSEKOKULU</w:t>
            </w:r>
          </w:p>
          <w:p w14:paraId="3E9D0E8C" w14:textId="7FAB0BA4" w:rsidR="00342F3B" w:rsidRPr="00101C4B" w:rsidRDefault="00342F3B" w:rsidP="00101C4B">
            <w:pPr>
              <w:spacing w:after="105" w:line="259" w:lineRule="auto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TAŞINIR SAYI</w:t>
            </w:r>
            <w:r w:rsidR="00101C4B">
              <w:rPr>
                <w:b/>
                <w:i w:val="0"/>
              </w:rPr>
              <w:t xml:space="preserve">M </w:t>
            </w:r>
            <w:r>
              <w:rPr>
                <w:b/>
                <w:i w:val="0"/>
              </w:rPr>
              <w:t>DÖKÜM VE YILSONU İŞLEMLERİ KOMİSYONU GÖREV YETKİ VE SORUMLULUKLARI</w:t>
            </w:r>
          </w:p>
        </w:tc>
      </w:tr>
      <w:tr w:rsidR="00342F3B" w14:paraId="718247D7" w14:textId="77777777" w:rsidTr="007B600A">
        <w:trPr>
          <w:trHeight w:val="480"/>
        </w:trPr>
        <w:tc>
          <w:tcPr>
            <w:tcW w:w="35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BA6963B" w14:textId="2CD5CDAF" w:rsidR="00342F3B" w:rsidRDefault="00342F3B">
            <w:pPr>
              <w:tabs>
                <w:tab w:val="center" w:pos="2205"/>
              </w:tabs>
              <w:spacing w:after="0" w:line="259" w:lineRule="auto"/>
              <w:jc w:val="left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Doküman No      </w:t>
            </w:r>
          </w:p>
        </w:tc>
        <w:tc>
          <w:tcPr>
            <w:tcW w:w="31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8B83BEA" w14:textId="69DAB8CF" w:rsidR="00342F3B" w:rsidRDefault="00342F3B">
            <w:pPr>
              <w:tabs>
                <w:tab w:val="center" w:pos="2205"/>
              </w:tabs>
              <w:spacing w:after="0" w:line="259" w:lineRule="auto"/>
              <w:jc w:val="left"/>
            </w:pPr>
            <w:r>
              <w:t>GSMYO-GYS.024</w:t>
            </w: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DF245A" w14:textId="5078F361" w:rsidR="00342F3B" w:rsidRDefault="00342F3B">
            <w:pPr>
              <w:tabs>
                <w:tab w:val="center" w:pos="2331"/>
              </w:tabs>
              <w:spacing w:after="0" w:line="259" w:lineRule="auto"/>
              <w:jc w:val="left"/>
            </w:pPr>
            <w:r>
              <w:rPr>
                <w:b/>
                <w:i w:val="0"/>
              </w:rPr>
              <w:t xml:space="preserve">Revizyon Numarası </w:t>
            </w:r>
            <w:r>
              <w:rPr>
                <w:b/>
                <w:i w:val="0"/>
              </w:rPr>
              <w:tab/>
              <w:t xml:space="preserve">: </w:t>
            </w:r>
            <w:r>
              <w:t>00</w:t>
            </w:r>
            <w:r w:rsidR="005C11DB">
              <w:t>2</w:t>
            </w:r>
          </w:p>
        </w:tc>
      </w:tr>
      <w:tr w:rsidR="00342F3B" w14:paraId="34DD2A44" w14:textId="77777777" w:rsidTr="007B600A">
        <w:trPr>
          <w:trHeight w:val="185"/>
        </w:trPr>
        <w:tc>
          <w:tcPr>
            <w:tcW w:w="35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7273DD5" w14:textId="21406FF1" w:rsidR="00342F3B" w:rsidRDefault="00342F3B">
            <w:pPr>
              <w:spacing w:after="0" w:line="259" w:lineRule="auto"/>
              <w:jc w:val="left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Yürürlük Tarihi   </w:t>
            </w:r>
          </w:p>
        </w:tc>
        <w:tc>
          <w:tcPr>
            <w:tcW w:w="31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E0AF752" w14:textId="2E26CB63" w:rsidR="00342F3B" w:rsidRDefault="00342F3B">
            <w:pPr>
              <w:spacing w:after="0" w:line="259" w:lineRule="auto"/>
              <w:jc w:val="left"/>
            </w:pPr>
            <w:r>
              <w:t>16.11.2020</w:t>
            </w: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5BED423" w14:textId="6E54AB3C" w:rsidR="00342F3B" w:rsidRDefault="00342F3B">
            <w:pPr>
              <w:spacing w:after="0" w:line="259" w:lineRule="auto"/>
              <w:jc w:val="left"/>
            </w:pPr>
            <w:r>
              <w:rPr>
                <w:b/>
                <w:i w:val="0"/>
              </w:rPr>
              <w:t>Revizyon Tarihi</w:t>
            </w:r>
            <w:r w:rsidR="007B600A">
              <w:rPr>
                <w:b/>
                <w:i w:val="0"/>
              </w:rPr>
              <w:t xml:space="preserve">      </w:t>
            </w:r>
            <w:r>
              <w:rPr>
                <w:b/>
                <w:i w:val="0"/>
              </w:rPr>
              <w:t xml:space="preserve"> :</w:t>
            </w:r>
            <w:r>
              <w:t xml:space="preserve">  1</w:t>
            </w:r>
            <w:r w:rsidR="005C11DB">
              <w:t>6</w:t>
            </w:r>
            <w:r>
              <w:t>.01.202</w:t>
            </w:r>
            <w:r w:rsidR="005C11DB">
              <w:t>3</w:t>
            </w:r>
          </w:p>
        </w:tc>
      </w:tr>
    </w:tbl>
    <w:p w14:paraId="7DD24018" w14:textId="5DA87332" w:rsidR="00907305" w:rsidRDefault="00C67647">
      <w:pPr>
        <w:spacing w:after="0" w:line="259" w:lineRule="auto"/>
        <w:jc w:val="left"/>
      </w:pPr>
      <w:r>
        <w:rPr>
          <w:rFonts w:ascii="Calibri" w:eastAsia="Calibri" w:hAnsi="Calibri" w:cs="Calibri"/>
          <w:i w:val="0"/>
        </w:rPr>
        <w:t xml:space="preserve"> </w:t>
      </w:r>
    </w:p>
    <w:tbl>
      <w:tblPr>
        <w:tblStyle w:val="TableGrid"/>
        <w:tblW w:w="10632" w:type="dxa"/>
        <w:tblInd w:w="-881" w:type="dxa"/>
        <w:tblCellMar>
          <w:top w:w="37" w:type="dxa"/>
          <w:left w:w="109" w:type="dxa"/>
          <w:right w:w="59" w:type="dxa"/>
        </w:tblCellMar>
        <w:tblLook w:val="04A0" w:firstRow="1" w:lastRow="0" w:firstColumn="1" w:lastColumn="0" w:noHBand="0" w:noVBand="1"/>
      </w:tblPr>
      <w:tblGrid>
        <w:gridCol w:w="5437"/>
        <w:gridCol w:w="5195"/>
      </w:tblGrid>
      <w:tr w:rsidR="00907305" w14:paraId="128DC492" w14:textId="77777777" w:rsidTr="007B600A">
        <w:trPr>
          <w:trHeight w:val="1048"/>
        </w:trPr>
        <w:tc>
          <w:tcPr>
            <w:tcW w:w="1063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05F1E344" w14:textId="77777777" w:rsidR="00907305" w:rsidRDefault="00C67647">
            <w:pPr>
              <w:spacing w:after="0" w:line="259" w:lineRule="auto"/>
              <w:ind w:left="11"/>
              <w:jc w:val="center"/>
            </w:pPr>
            <w:r>
              <w:rPr>
                <w:b/>
                <w:i w:val="0"/>
              </w:rPr>
              <w:t xml:space="preserve"> </w:t>
            </w:r>
          </w:p>
          <w:p w14:paraId="2BA855A3" w14:textId="77777777" w:rsidR="00907305" w:rsidRDefault="00C67647">
            <w:pPr>
              <w:spacing w:after="15" w:line="259" w:lineRule="auto"/>
              <w:ind w:left="46"/>
              <w:jc w:val="left"/>
            </w:pPr>
            <w:r>
              <w:rPr>
                <w:b/>
              </w:rPr>
              <w:t xml:space="preserve">GÜLHANE SAĞLIK MESLEK YÜKSEKOKULU TAŞINIR SAYIM DÖKÜM VE YILSONU </w:t>
            </w:r>
          </w:p>
          <w:p w14:paraId="73EA0EF3" w14:textId="77777777" w:rsidR="00907305" w:rsidRDefault="00C67647">
            <w:pPr>
              <w:spacing w:after="0" w:line="259" w:lineRule="auto"/>
              <w:ind w:right="50"/>
              <w:jc w:val="center"/>
            </w:pPr>
            <w:r>
              <w:rPr>
                <w:b/>
              </w:rPr>
              <w:t xml:space="preserve">İŞLEMLERİ KOMİSYONU </w:t>
            </w:r>
          </w:p>
          <w:p w14:paraId="754C7E14" w14:textId="77777777" w:rsidR="00907305" w:rsidRDefault="00C67647">
            <w:pPr>
              <w:spacing w:after="0" w:line="259" w:lineRule="auto"/>
              <w:ind w:left="11"/>
              <w:jc w:val="center"/>
            </w:pPr>
            <w:r>
              <w:rPr>
                <w:b/>
                <w:i w:val="0"/>
              </w:rPr>
              <w:t xml:space="preserve"> </w:t>
            </w:r>
          </w:p>
        </w:tc>
      </w:tr>
      <w:tr w:rsidR="00907305" w14:paraId="66E21204" w14:textId="77777777" w:rsidTr="007B600A">
        <w:trPr>
          <w:trHeight w:val="1340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63BADFE4" w14:textId="77777777" w:rsidR="00907305" w:rsidRDefault="00C67647">
            <w:pPr>
              <w:spacing w:after="0" w:line="259" w:lineRule="auto"/>
              <w:ind w:righ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132C1947" w14:textId="77777777" w:rsidR="00907305" w:rsidRDefault="00C67647">
            <w:pPr>
              <w:spacing w:after="0" w:line="259" w:lineRule="auto"/>
              <w:ind w:right="5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TAŞINIR SAYIM DÖKÜM VE YILSONU İŞLEMLERİ ÜYELERİ </w:t>
            </w:r>
          </w:p>
          <w:p w14:paraId="1DD27E67" w14:textId="77777777" w:rsidR="00907305" w:rsidRDefault="00C67647">
            <w:pPr>
              <w:spacing w:after="0" w:line="259" w:lineRule="auto"/>
              <w:ind w:righ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2F480571" w14:textId="77777777" w:rsidR="00907305" w:rsidRDefault="00C67647">
            <w:pPr>
              <w:spacing w:after="3" w:line="237" w:lineRule="auto"/>
            </w:pPr>
            <w:r>
              <w:rPr>
                <w:rFonts w:ascii="Calibri" w:eastAsia="Calibri" w:hAnsi="Calibri" w:cs="Calibri"/>
                <w:i w:val="0"/>
              </w:rPr>
              <w:t xml:space="preserve">Meslek Yüksekokul Müdürü tarafından önerilen Başkan (aktif bölümlerden seçilen öğretim elemanlarından) ve İdari Personel tarafından oluşur. (Başkan ile birlikte en az 4 kişi) </w:t>
            </w:r>
          </w:p>
          <w:p w14:paraId="79059996" w14:textId="77777777" w:rsidR="00907305" w:rsidRDefault="00C67647">
            <w:pPr>
              <w:spacing w:after="0" w:line="259" w:lineRule="auto"/>
              <w:jc w:val="left"/>
            </w:pPr>
            <w:r>
              <w:rPr>
                <w:rFonts w:ascii="Calibri" w:eastAsia="Calibri" w:hAnsi="Calibri" w:cs="Calibri"/>
                <w:i w:val="0"/>
              </w:rPr>
              <w:t xml:space="preserve"> </w:t>
            </w:r>
          </w:p>
        </w:tc>
      </w:tr>
      <w:tr w:rsidR="00907305" w14:paraId="668671DC" w14:textId="77777777" w:rsidTr="007B600A">
        <w:trPr>
          <w:trHeight w:val="1622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09DA0D7B" w14:textId="77777777" w:rsidR="00907305" w:rsidRDefault="00C67647">
            <w:pPr>
              <w:spacing w:after="0" w:line="259" w:lineRule="auto"/>
              <w:jc w:val="left"/>
            </w:pPr>
            <w:r>
              <w:rPr>
                <w:rFonts w:ascii="Calibri" w:eastAsia="Calibri" w:hAnsi="Calibri" w:cs="Calibri"/>
                <w:i w:val="0"/>
              </w:rPr>
              <w:t xml:space="preserve"> </w:t>
            </w:r>
          </w:p>
          <w:p w14:paraId="0D43DBFD" w14:textId="77777777" w:rsidR="00907305" w:rsidRDefault="00C67647">
            <w:pPr>
              <w:spacing w:after="0" w:line="259" w:lineRule="auto"/>
              <w:jc w:val="left"/>
            </w:pPr>
            <w:r>
              <w:rPr>
                <w:rFonts w:ascii="Calibri" w:eastAsia="Calibri" w:hAnsi="Calibri" w:cs="Calibri"/>
                <w:b/>
                <w:i w:val="0"/>
                <w:u w:val="single" w:color="000000"/>
              </w:rPr>
              <w:t>GÖREVİN TANIMI:</w:t>
            </w:r>
            <w:r>
              <w:rPr>
                <w:rFonts w:ascii="Calibri" w:eastAsia="Calibri" w:hAnsi="Calibri" w:cs="Calibri"/>
                <w:b/>
                <w:i w:val="0"/>
              </w:rPr>
              <w:t xml:space="preserve"> </w:t>
            </w:r>
          </w:p>
          <w:p w14:paraId="7F5B2424" w14:textId="25D922BB" w:rsidR="00907305" w:rsidRDefault="00C67647">
            <w:pPr>
              <w:spacing w:after="0" w:line="259" w:lineRule="auto"/>
              <w:jc w:val="left"/>
            </w:pPr>
            <w:r>
              <w:rPr>
                <w:rFonts w:ascii="Calibri" w:eastAsia="Calibri" w:hAnsi="Calibri" w:cs="Calibri"/>
                <w:i w:val="0"/>
              </w:rPr>
              <w:t>Taşınır Sayım Döküm ve Yılsonu İşlemleri Komisyonu’nun görevi genel olarak; Kanun, tüzük, yönetmelikler doğrultusunda ve Kalite Yönetim Sistemine uygun olarak her türlü taşınır ve taşınmaz mal ve malzemelerin kaydı, kontrolü, muhafazası, stok durumu v</w:t>
            </w:r>
            <w:r w:rsidR="00434E2C">
              <w:rPr>
                <w:rFonts w:ascii="Calibri" w:eastAsia="Calibri" w:hAnsi="Calibri" w:cs="Calibri"/>
                <w:i w:val="0"/>
              </w:rPr>
              <w:t>b. i</w:t>
            </w:r>
            <w:r>
              <w:rPr>
                <w:rFonts w:ascii="Calibri" w:eastAsia="Calibri" w:hAnsi="Calibri" w:cs="Calibri"/>
                <w:i w:val="0"/>
              </w:rPr>
              <w:t xml:space="preserve">le ilgili her türlü faaliyeti eksiksiz ve hızlı bir şekilde yapılmasını sağlamak.  </w:t>
            </w:r>
          </w:p>
        </w:tc>
      </w:tr>
      <w:tr w:rsidR="00907305" w14:paraId="676FCD20" w14:textId="77777777" w:rsidTr="007B600A">
        <w:trPr>
          <w:trHeight w:val="3403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4ECAFDA1" w14:textId="77777777" w:rsidR="00907305" w:rsidRDefault="00C67647">
            <w:pPr>
              <w:spacing w:after="0" w:line="259" w:lineRule="auto"/>
              <w:jc w:val="left"/>
            </w:pPr>
            <w:r>
              <w:rPr>
                <w:rFonts w:ascii="Calibri" w:eastAsia="Calibri" w:hAnsi="Calibri" w:cs="Calibri"/>
                <w:b/>
                <w:i w:val="0"/>
              </w:rPr>
              <w:t xml:space="preserve"> </w:t>
            </w:r>
          </w:p>
          <w:p w14:paraId="5C70FB3A" w14:textId="77777777" w:rsidR="00907305" w:rsidRDefault="00C67647">
            <w:pPr>
              <w:spacing w:after="0" w:line="259" w:lineRule="auto"/>
              <w:jc w:val="left"/>
            </w:pPr>
            <w:r>
              <w:rPr>
                <w:rFonts w:ascii="Calibri" w:eastAsia="Calibri" w:hAnsi="Calibri" w:cs="Calibri"/>
                <w:b/>
                <w:i w:val="0"/>
                <w:u w:val="single" w:color="000000"/>
              </w:rPr>
              <w:t>GÖREVİ VE SORUMLULUKLARI:</w:t>
            </w:r>
            <w:r>
              <w:rPr>
                <w:rFonts w:ascii="Calibri" w:eastAsia="Calibri" w:hAnsi="Calibri" w:cs="Calibri"/>
                <w:b/>
                <w:i w:val="0"/>
              </w:rPr>
              <w:t xml:space="preserve">  </w:t>
            </w:r>
          </w:p>
          <w:p w14:paraId="7562D5EE" w14:textId="77777777" w:rsidR="00907305" w:rsidRDefault="00C67647">
            <w:pPr>
              <w:numPr>
                <w:ilvl w:val="0"/>
                <w:numId w:val="1"/>
              </w:numPr>
              <w:spacing w:after="0" w:line="259" w:lineRule="auto"/>
              <w:jc w:val="left"/>
            </w:pPr>
            <w:r>
              <w:rPr>
                <w:rFonts w:ascii="Calibri" w:eastAsia="Calibri" w:hAnsi="Calibri" w:cs="Calibri"/>
                <w:i w:val="0"/>
              </w:rPr>
              <w:t xml:space="preserve">Taşınır Mal Yönetmeliğinde belirtilen görevlerin dağılımını sağlamak. </w:t>
            </w:r>
          </w:p>
          <w:p w14:paraId="6BB600F2" w14:textId="77777777" w:rsidR="00907305" w:rsidRDefault="00C67647">
            <w:pPr>
              <w:numPr>
                <w:ilvl w:val="0"/>
                <w:numId w:val="1"/>
              </w:numPr>
              <w:spacing w:after="0" w:line="259" w:lineRule="auto"/>
              <w:jc w:val="left"/>
            </w:pPr>
            <w:r>
              <w:rPr>
                <w:rFonts w:ascii="Calibri" w:eastAsia="Calibri" w:hAnsi="Calibri" w:cs="Calibri"/>
                <w:i w:val="0"/>
              </w:rPr>
              <w:t xml:space="preserve">Yüksekokulun tüketim ve demirbaş malzeme ihtiyaçlarını tespit etmek.  </w:t>
            </w:r>
          </w:p>
          <w:p w14:paraId="404F3CEC" w14:textId="77777777" w:rsidR="00907305" w:rsidRDefault="00C67647">
            <w:pPr>
              <w:numPr>
                <w:ilvl w:val="0"/>
                <w:numId w:val="1"/>
              </w:numPr>
              <w:spacing w:after="12" w:line="239" w:lineRule="auto"/>
              <w:jc w:val="left"/>
            </w:pPr>
            <w:r>
              <w:rPr>
                <w:rFonts w:ascii="Calibri" w:eastAsia="Calibri" w:hAnsi="Calibri" w:cs="Calibri"/>
                <w:i w:val="0"/>
              </w:rPr>
              <w:t xml:space="preserve">Muayenesi ve/veya kontrolü gereken taşınır malzemelerin tahlil ve kontrolünün yapılmasını sağlamak. </w:t>
            </w:r>
          </w:p>
          <w:p w14:paraId="3AE11110" w14:textId="4D6DC474" w:rsidR="00907305" w:rsidRDefault="00C67647">
            <w:pPr>
              <w:numPr>
                <w:ilvl w:val="0"/>
                <w:numId w:val="1"/>
              </w:numPr>
              <w:spacing w:after="12" w:line="239" w:lineRule="auto"/>
              <w:jc w:val="left"/>
            </w:pPr>
            <w:r>
              <w:rPr>
                <w:rFonts w:ascii="Calibri" w:eastAsia="Calibri" w:hAnsi="Calibri" w:cs="Calibri"/>
                <w:i w:val="0"/>
              </w:rPr>
              <w:t xml:space="preserve">Malzeme talep yazıları ile yıl sonu sayım-döküm ve Sayıştay’a gönderilecek listeler ile ilgili işlemlerin takibini sağlamak. </w:t>
            </w:r>
          </w:p>
          <w:p w14:paraId="675858CB" w14:textId="77777777" w:rsidR="00907305" w:rsidRDefault="00C67647">
            <w:pPr>
              <w:numPr>
                <w:ilvl w:val="0"/>
                <w:numId w:val="1"/>
              </w:numPr>
              <w:spacing w:after="2" w:line="237" w:lineRule="auto"/>
              <w:jc w:val="left"/>
            </w:pPr>
            <w:r>
              <w:rPr>
                <w:rFonts w:ascii="Calibri" w:eastAsia="Calibri" w:hAnsi="Calibri" w:cs="Calibri"/>
                <w:i w:val="0"/>
              </w:rPr>
              <w:t xml:space="preserve">Taşınırların yılsonu sayım işlemlerinin planlamasını yapmak, ilgili personel tarafından yapılmasını sağlamak ve sayım cetvellerinin düzenlenerek yetkili mercilere iletilmesini takip etmek.  </w:t>
            </w:r>
          </w:p>
          <w:p w14:paraId="4353569C" w14:textId="77777777" w:rsidR="00907305" w:rsidRDefault="00C67647">
            <w:pPr>
              <w:spacing w:after="0" w:line="259" w:lineRule="auto"/>
              <w:jc w:val="left"/>
            </w:pPr>
            <w:r>
              <w:rPr>
                <w:rFonts w:ascii="Calibri" w:eastAsia="Calibri" w:hAnsi="Calibri" w:cs="Calibri"/>
                <w:i w:val="0"/>
              </w:rPr>
              <w:t xml:space="preserve"> </w:t>
            </w:r>
          </w:p>
          <w:p w14:paraId="6F2E89F7" w14:textId="77777777" w:rsidR="00907305" w:rsidRDefault="00C67647">
            <w:pPr>
              <w:spacing w:after="0" w:line="259" w:lineRule="auto"/>
              <w:jc w:val="left"/>
            </w:pPr>
            <w:r>
              <w:rPr>
                <w:rFonts w:ascii="Calibri" w:eastAsia="Calibri" w:hAnsi="Calibri" w:cs="Calibri"/>
                <w:i w:val="0"/>
              </w:rPr>
              <w:t xml:space="preserve"> </w:t>
            </w:r>
          </w:p>
        </w:tc>
      </w:tr>
      <w:tr w:rsidR="00907305" w14:paraId="7A200C3E" w14:textId="77777777" w:rsidTr="007B600A">
        <w:trPr>
          <w:trHeight w:val="1317"/>
        </w:trPr>
        <w:tc>
          <w:tcPr>
            <w:tcW w:w="5437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471D4354" w14:textId="403325BA" w:rsidR="00907305" w:rsidRDefault="00C67647" w:rsidP="007B600A">
            <w:pPr>
              <w:spacing w:after="26" w:line="259" w:lineRule="auto"/>
              <w:ind w:right="45"/>
              <w:jc w:val="center"/>
            </w:pPr>
            <w:r>
              <w:rPr>
                <w:rFonts w:ascii="Calibri" w:eastAsia="Calibri" w:hAnsi="Calibri" w:cs="Calibri"/>
                <w:b/>
                <w:i w:val="0"/>
              </w:rPr>
              <w:t>Hazırlayan</w:t>
            </w:r>
          </w:p>
          <w:p w14:paraId="64D4DD8F" w14:textId="053B1429" w:rsidR="00C67647" w:rsidRDefault="00C67647" w:rsidP="007B600A">
            <w:pPr>
              <w:spacing w:after="2" w:line="237" w:lineRule="auto"/>
              <w:ind w:left="893" w:right="18" w:hanging="221"/>
              <w:jc w:val="center"/>
              <w:rPr>
                <w:rFonts w:ascii="Calibri" w:eastAsia="Calibri" w:hAnsi="Calibri" w:cs="Calibri"/>
                <w:i w:val="0"/>
              </w:rPr>
            </w:pPr>
            <w:r>
              <w:rPr>
                <w:rFonts w:ascii="Calibri" w:eastAsia="Calibri" w:hAnsi="Calibri" w:cs="Calibri"/>
                <w:i w:val="0"/>
              </w:rPr>
              <w:t>Dr. Öğretim Üyesi Harika ŞEN</w:t>
            </w:r>
          </w:p>
          <w:p w14:paraId="48ACCD46" w14:textId="613E84C9" w:rsidR="00907305" w:rsidRDefault="004074F6" w:rsidP="007B600A">
            <w:pPr>
              <w:spacing w:after="2" w:line="237" w:lineRule="auto"/>
              <w:ind w:right="18"/>
              <w:jc w:val="center"/>
            </w:pPr>
            <w:r>
              <w:rPr>
                <w:rFonts w:ascii="Calibri" w:eastAsia="Calibri" w:hAnsi="Calibri" w:cs="Calibri"/>
                <w:i w:val="0"/>
              </w:rPr>
              <w:t xml:space="preserve">Sağlık Meslek </w:t>
            </w:r>
            <w:r w:rsidR="00C67647">
              <w:rPr>
                <w:rFonts w:ascii="Calibri" w:eastAsia="Calibri" w:hAnsi="Calibri" w:cs="Calibri"/>
                <w:i w:val="0"/>
              </w:rPr>
              <w:t>Yüksekokul Müdür Yrd.</w:t>
            </w:r>
          </w:p>
          <w:p w14:paraId="284BD584" w14:textId="36790B6E" w:rsidR="00907305" w:rsidRDefault="00907305" w:rsidP="007B600A">
            <w:pPr>
              <w:spacing w:after="57" w:line="259" w:lineRule="auto"/>
              <w:ind w:right="348"/>
              <w:jc w:val="center"/>
            </w:pPr>
          </w:p>
          <w:p w14:paraId="004AEFB1" w14:textId="5CB850D4" w:rsidR="00907305" w:rsidRDefault="00907305" w:rsidP="007B600A">
            <w:pPr>
              <w:spacing w:after="0" w:line="259" w:lineRule="auto"/>
              <w:jc w:val="center"/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55D9F865" w14:textId="2601B500" w:rsidR="00907305" w:rsidRDefault="00C67647" w:rsidP="007B600A">
            <w:pPr>
              <w:spacing w:after="0" w:line="259" w:lineRule="auto"/>
              <w:ind w:right="49"/>
              <w:jc w:val="center"/>
            </w:pPr>
            <w:r>
              <w:rPr>
                <w:rFonts w:ascii="Calibri" w:eastAsia="Calibri" w:hAnsi="Calibri" w:cs="Calibri"/>
                <w:b/>
                <w:i w:val="0"/>
              </w:rPr>
              <w:t>Onaylayan</w:t>
            </w:r>
          </w:p>
          <w:p w14:paraId="46251C82" w14:textId="5C7D674D" w:rsidR="00C67647" w:rsidRDefault="00C67647" w:rsidP="007B600A">
            <w:pPr>
              <w:spacing w:after="0" w:line="259" w:lineRule="auto"/>
              <w:ind w:left="253" w:right="252"/>
              <w:jc w:val="center"/>
              <w:rPr>
                <w:rFonts w:ascii="Calibri" w:eastAsia="Calibri" w:hAnsi="Calibri" w:cs="Calibri"/>
                <w:i w:val="0"/>
              </w:rPr>
            </w:pPr>
            <w:r>
              <w:rPr>
                <w:rFonts w:ascii="Calibri" w:eastAsia="Calibri" w:hAnsi="Calibri" w:cs="Calibri"/>
                <w:i w:val="0"/>
              </w:rPr>
              <w:t>Prof. Dr.</w:t>
            </w:r>
            <w:r w:rsidR="00EC78FC">
              <w:rPr>
                <w:rFonts w:ascii="Calibri" w:eastAsia="Calibri" w:hAnsi="Calibri" w:cs="Calibri"/>
                <w:i w:val="0"/>
              </w:rPr>
              <w:t>Yaşar ÖZGÖK</w:t>
            </w:r>
          </w:p>
          <w:p w14:paraId="261B2325" w14:textId="2A898EA1" w:rsidR="00907305" w:rsidRDefault="004074F6" w:rsidP="007B600A">
            <w:pPr>
              <w:spacing w:after="0" w:line="259" w:lineRule="auto"/>
              <w:ind w:left="253" w:right="252"/>
              <w:jc w:val="center"/>
            </w:pPr>
            <w:r>
              <w:rPr>
                <w:rFonts w:ascii="Calibri" w:eastAsia="Calibri" w:hAnsi="Calibri" w:cs="Calibri"/>
                <w:i w:val="0"/>
              </w:rPr>
              <w:t xml:space="preserve">Sağlık Meslek </w:t>
            </w:r>
            <w:r w:rsidR="00C67647">
              <w:rPr>
                <w:rFonts w:ascii="Calibri" w:eastAsia="Calibri" w:hAnsi="Calibri" w:cs="Calibri"/>
                <w:i w:val="0"/>
              </w:rPr>
              <w:t>Yüksekokul Müdürü</w:t>
            </w:r>
          </w:p>
        </w:tc>
      </w:tr>
    </w:tbl>
    <w:p w14:paraId="3C72FD9D" w14:textId="55C36E81" w:rsidR="00907305" w:rsidRDefault="00C67647" w:rsidP="007B600A">
      <w:pPr>
        <w:spacing w:after="3014" w:line="259" w:lineRule="auto"/>
        <w:jc w:val="center"/>
      </w:pPr>
      <w:r>
        <w:t xml:space="preserve">Gülhane Sağlık Meslek Yüksekokulu Kalite Akreditasyon Sistemi’ne ait güncel dokümanlar web sayfası üzerindedir. Basılı ortamda bulunan dokümanlar “Kontrolsüz Kopya” </w:t>
      </w:r>
      <w:r w:rsidR="007D1C74">
        <w:t>ni</w:t>
      </w:r>
      <w:r>
        <w:t>iteliğindedir</w:t>
      </w:r>
      <w:r w:rsidR="00434E2C">
        <w:t xml:space="preserve">. </w:t>
      </w:r>
      <w:r>
        <w:t>Basılı ortamda kontrollü kopya talebinizi Meslek Yüksekokulu Müdürlüğü’ne iletmeniz rica olunur.</w:t>
      </w:r>
    </w:p>
    <w:sectPr w:rsidR="00907305" w:rsidSect="007D1C74">
      <w:pgSz w:w="11906" w:h="16838"/>
      <w:pgMar w:top="284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80501"/>
    <w:multiLevelType w:val="hybridMultilevel"/>
    <w:tmpl w:val="4E6AAFA2"/>
    <w:lvl w:ilvl="0" w:tplc="8702FF0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16D926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F465AE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86F190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78A420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0AB958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CAB6F2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F00330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8AA1D0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0680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305"/>
    <w:rsid w:val="0003586A"/>
    <w:rsid w:val="00101C4B"/>
    <w:rsid w:val="002C5B75"/>
    <w:rsid w:val="00342F3B"/>
    <w:rsid w:val="004074F6"/>
    <w:rsid w:val="00434E2C"/>
    <w:rsid w:val="005C11DB"/>
    <w:rsid w:val="0065551D"/>
    <w:rsid w:val="007B600A"/>
    <w:rsid w:val="007D1C74"/>
    <w:rsid w:val="00907305"/>
    <w:rsid w:val="00AF47BE"/>
    <w:rsid w:val="00C67647"/>
    <w:rsid w:val="00EC78FC"/>
    <w:rsid w:val="00ED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29D8"/>
  <w15:docId w15:val="{EAF7A6B8-2128-4D3A-A587-7AA12C82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35" w:lineRule="auto"/>
      <w:jc w:val="both"/>
    </w:pPr>
    <w:rPr>
      <w:rFonts w:ascii="Arial" w:eastAsia="Arial" w:hAnsi="Arial" w:cs="Arial"/>
      <w:i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AYLA AYDIN</cp:lastModifiedBy>
  <cp:revision>15</cp:revision>
  <cp:lastPrinted>2022-02-02T11:24:00Z</cp:lastPrinted>
  <dcterms:created xsi:type="dcterms:W3CDTF">2021-12-24T07:27:00Z</dcterms:created>
  <dcterms:modified xsi:type="dcterms:W3CDTF">2023-01-18T08:02:00Z</dcterms:modified>
</cp:coreProperties>
</file>