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9448" w14:textId="77777777" w:rsidR="00C361A3" w:rsidRPr="00C361A3" w:rsidRDefault="00C361A3" w:rsidP="00C361A3">
      <w:pPr>
        <w:spacing w:after="0" w:line="240" w:lineRule="auto"/>
        <w:jc w:val="center"/>
        <w:rPr>
          <w:rFonts w:ascii="Times New Roman" w:hAnsi="Times New Roman" w:cs="Times New Roman"/>
          <w:b/>
          <w:sz w:val="24"/>
          <w:szCs w:val="24"/>
        </w:rPr>
      </w:pPr>
      <w:r w:rsidRPr="00C361A3">
        <w:rPr>
          <w:rFonts w:ascii="Times New Roman" w:hAnsi="Times New Roman" w:cs="Times New Roman"/>
          <w:b/>
          <w:sz w:val="24"/>
          <w:szCs w:val="24"/>
        </w:rPr>
        <w:t>PERSONEL CEZA SORUŞTURMASI</w:t>
      </w:r>
    </w:p>
    <w:p w14:paraId="528C544A" w14:textId="77777777" w:rsidR="00C361A3" w:rsidRPr="00C361A3" w:rsidRDefault="00C361A3" w:rsidP="00C361A3">
      <w:pPr>
        <w:spacing w:after="0" w:line="240" w:lineRule="auto"/>
        <w:ind w:firstLine="426"/>
        <w:jc w:val="both"/>
        <w:rPr>
          <w:rFonts w:ascii="Times New Roman" w:hAnsi="Times New Roman" w:cs="Times New Roman"/>
          <w:b/>
          <w:sz w:val="24"/>
          <w:szCs w:val="24"/>
        </w:rPr>
      </w:pPr>
    </w:p>
    <w:p w14:paraId="6C8A7552"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2547 sayılı Yükseköğretim Kanunu’nun ilgili hükümleri uyarınca yükseköğretim üst kuruluşları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nedeniyle haklarında Savcılıklarca doğrudan soruşturma açılması mümkün değildir. Yukarıda sayılan personelin görevleri dolayısıyla ya da görevlerini yaptıkları sırada işledikleri ileri sürülen suçlar hakkında 2547 sayılı Yükseköğretim Kanunu’nun 53/c maddesinde düzenlenen hükümlere göre inceleme ya da ceza soruşturması yapılarak haklarında son soruşturmanın açılıp açılmamasına (şüphelinin görev unvanına göre) anılan Kanun maddesinde düzenlenmiş olan kurullarca karar verilir. </w:t>
      </w:r>
    </w:p>
    <w:p w14:paraId="16C3ADD9"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6BF11667" w14:textId="77777777" w:rsidR="00C361A3" w:rsidRPr="00C361A3" w:rsidRDefault="00C361A3" w:rsidP="00C361A3">
      <w:pPr>
        <w:spacing w:after="0" w:line="240" w:lineRule="auto"/>
        <w:ind w:firstLine="426"/>
        <w:jc w:val="both"/>
        <w:rPr>
          <w:rFonts w:ascii="Times New Roman" w:hAnsi="Times New Roman" w:cs="Times New Roman"/>
          <w:b/>
          <w:sz w:val="24"/>
          <w:szCs w:val="24"/>
        </w:rPr>
      </w:pPr>
      <w:r w:rsidRPr="00C361A3">
        <w:rPr>
          <w:rFonts w:ascii="Times New Roman" w:hAnsi="Times New Roman" w:cs="Times New Roman"/>
          <w:b/>
          <w:sz w:val="24"/>
          <w:szCs w:val="24"/>
        </w:rPr>
        <w:t xml:space="preserve">1. Soruşturmaya Yetkili Amirler ve Soruşturmanın Açılması </w:t>
      </w:r>
    </w:p>
    <w:p w14:paraId="1AF54C94" w14:textId="77777777" w:rsidR="00C361A3" w:rsidRPr="00C361A3" w:rsidRDefault="00C361A3" w:rsidP="00C361A3">
      <w:pPr>
        <w:spacing w:after="0" w:line="240" w:lineRule="auto"/>
        <w:ind w:firstLine="426"/>
        <w:jc w:val="both"/>
        <w:rPr>
          <w:rFonts w:ascii="Times New Roman" w:hAnsi="Times New Roman" w:cs="Times New Roman"/>
          <w:b/>
          <w:sz w:val="24"/>
          <w:szCs w:val="24"/>
        </w:rPr>
      </w:pPr>
    </w:p>
    <w:p w14:paraId="4F87979E"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2547 sayılı Kanun’un 53. maddesindeki düzenlemeye göre, soruşturma açmaya yetkili amir, yükseköğretim Kurulu Başkanı veya diğer disiplin amirleridir.</w:t>
      </w:r>
    </w:p>
    <w:p w14:paraId="1FD057AD"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6C04212"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Soruşturmaya yetkili makam, Yükseköğretim kurumunda çalışan personelin, görevi sırasında veya görevinden doğan bir suç işlediğini, ihbar, şikâyet, basın yayın yolu ile veya doğrudan doğruya suça şahit olarak öğrenmesi durumunda, 2547 sayılı Kanun’un 53/c-1 maddesine göre personel hakkında ceza soruşturması başlatır. Yetkili amir soruşturmayı bir soruşturmacı vasıtası ile yaptırır. Soruşturma disiplin amiri tarafından imzalanacak soruşturma emri ile başlatılır.</w:t>
      </w:r>
    </w:p>
    <w:p w14:paraId="68B3652F"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453DA234"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Soruşturma emrinde kimin hakkında soruşturma açıldığı ismen ifade edilmeli, fail bilinmiyorsa tespiti yönünde inceleme başlatılarak failin belirlenmesi istenmelidir.</w:t>
      </w:r>
    </w:p>
    <w:p w14:paraId="68846E78"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3B8ED9AB" w14:textId="77777777" w:rsidR="00C361A3" w:rsidRPr="00C361A3" w:rsidRDefault="00C361A3" w:rsidP="00C361A3">
      <w:pPr>
        <w:spacing w:after="0" w:line="240" w:lineRule="auto"/>
        <w:ind w:firstLine="426"/>
        <w:jc w:val="both"/>
        <w:rPr>
          <w:rFonts w:ascii="Times New Roman" w:hAnsi="Times New Roman" w:cs="Times New Roman"/>
          <w:b/>
          <w:sz w:val="24"/>
          <w:szCs w:val="24"/>
        </w:rPr>
      </w:pPr>
      <w:r w:rsidRPr="00C361A3">
        <w:rPr>
          <w:rFonts w:ascii="Times New Roman" w:hAnsi="Times New Roman" w:cs="Times New Roman"/>
          <w:b/>
          <w:sz w:val="24"/>
          <w:szCs w:val="24"/>
        </w:rPr>
        <w:t xml:space="preserve">2. Soruşturmacıların Nitelikleri </w:t>
      </w:r>
    </w:p>
    <w:p w14:paraId="72415A6C" w14:textId="77777777" w:rsidR="00C361A3" w:rsidRPr="00C361A3" w:rsidRDefault="00C361A3" w:rsidP="00C361A3">
      <w:pPr>
        <w:spacing w:after="0" w:line="240" w:lineRule="auto"/>
        <w:ind w:firstLine="426"/>
        <w:jc w:val="both"/>
        <w:rPr>
          <w:rFonts w:ascii="Times New Roman" w:hAnsi="Times New Roman" w:cs="Times New Roman"/>
          <w:b/>
          <w:sz w:val="24"/>
          <w:szCs w:val="24"/>
        </w:rPr>
      </w:pPr>
    </w:p>
    <w:p w14:paraId="5036D140"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Soruşturmacının görev ve derecesi ya da akademik unvanı, soruşturması yapılan memurun görev ve derecesinden ya da akademik personelin unvanından daha yüksek ya da aynı düzeyde olmalıdır. Yöneticiler ve idari personel hakkındaki soruşturmalarda da unvan eşitliği aranır. Değişik statüdeki personelin birlikte suç işlemesi halinde ast, üst hakkındaki soruşturma usulüne tabidir.</w:t>
      </w:r>
    </w:p>
    <w:p w14:paraId="6206735E"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2C84C54D" w14:textId="77777777" w:rsidR="00C361A3" w:rsidRPr="00C361A3" w:rsidRDefault="00C361A3" w:rsidP="00C361A3">
      <w:pPr>
        <w:spacing w:after="0" w:line="240" w:lineRule="auto"/>
        <w:ind w:firstLine="426"/>
        <w:jc w:val="both"/>
        <w:rPr>
          <w:rFonts w:ascii="Times New Roman" w:hAnsi="Times New Roman" w:cs="Times New Roman"/>
          <w:b/>
          <w:sz w:val="24"/>
          <w:szCs w:val="24"/>
        </w:rPr>
      </w:pPr>
      <w:r w:rsidRPr="00C361A3">
        <w:rPr>
          <w:rFonts w:ascii="Times New Roman" w:hAnsi="Times New Roman" w:cs="Times New Roman"/>
          <w:b/>
          <w:sz w:val="24"/>
          <w:szCs w:val="24"/>
        </w:rPr>
        <w:t xml:space="preserve">3. Soruşturmanın Yapılması </w:t>
      </w:r>
    </w:p>
    <w:p w14:paraId="7C91E0E1" w14:textId="77777777" w:rsidR="00C361A3" w:rsidRPr="00C361A3" w:rsidRDefault="00C361A3" w:rsidP="00C361A3">
      <w:pPr>
        <w:spacing w:after="0" w:line="240" w:lineRule="auto"/>
        <w:ind w:firstLine="426"/>
        <w:jc w:val="both"/>
        <w:rPr>
          <w:rFonts w:ascii="Times New Roman" w:hAnsi="Times New Roman" w:cs="Times New Roman"/>
          <w:b/>
          <w:sz w:val="24"/>
          <w:szCs w:val="24"/>
        </w:rPr>
      </w:pPr>
    </w:p>
    <w:p w14:paraId="036D03A4"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Soruşturma emri ile görevlendirilen soruşturmacı, soruşturma emrini incelemek suretiyle hangi konu ve konularda, kim veya kimler hakkında soruşturma yapılması istendiğini tespit eder. Soruşturma emri ekinde yer alan şikâyet dilekçeleri, ihbar yazıları ve varsa diğer kayıt ve belgeler dikkatle incelenerek iddialarla ilgili gerekli bilgi ve belgeleri ilgili makam ve kişilerden temin ederek dosyada toplar. Gerekli gördüğü takdirde keşif yapar, bilirkişi incelenmesi isteyebilir ve ihtiyaç duyduğu tüm delilleri toplayabilir. Disiplin ve ceza soruşturmasının birlikte yürütülmesi halinde her iki soruşturmaya ilişkin usullere de uyulur. </w:t>
      </w:r>
    </w:p>
    <w:p w14:paraId="08314D46"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666E2DBA" w14:textId="77777777" w:rsidR="00C361A3" w:rsidRPr="00C361A3" w:rsidRDefault="00C361A3" w:rsidP="00C361A3">
      <w:pPr>
        <w:spacing w:after="0" w:line="240" w:lineRule="auto"/>
        <w:ind w:firstLine="426"/>
        <w:jc w:val="both"/>
        <w:rPr>
          <w:rFonts w:ascii="Times New Roman" w:hAnsi="Times New Roman" w:cs="Times New Roman"/>
          <w:b/>
          <w:i/>
          <w:sz w:val="24"/>
          <w:szCs w:val="24"/>
        </w:rPr>
      </w:pPr>
      <w:r w:rsidRPr="00C361A3">
        <w:rPr>
          <w:rFonts w:ascii="Times New Roman" w:hAnsi="Times New Roman" w:cs="Times New Roman"/>
          <w:b/>
          <w:i/>
          <w:sz w:val="24"/>
          <w:szCs w:val="24"/>
        </w:rPr>
        <w:t>Soruşturmacının görevleri aşağıdaki gibidir:</w:t>
      </w:r>
    </w:p>
    <w:p w14:paraId="2BDD145C" w14:textId="77777777" w:rsidR="00C361A3" w:rsidRPr="00C361A3" w:rsidRDefault="00C361A3" w:rsidP="00C361A3">
      <w:pPr>
        <w:spacing w:after="0" w:line="240" w:lineRule="auto"/>
        <w:ind w:firstLine="426"/>
        <w:jc w:val="both"/>
        <w:rPr>
          <w:rFonts w:ascii="Times New Roman" w:hAnsi="Times New Roman" w:cs="Times New Roman"/>
          <w:b/>
          <w:i/>
          <w:sz w:val="24"/>
          <w:szCs w:val="24"/>
        </w:rPr>
      </w:pPr>
    </w:p>
    <w:p w14:paraId="5B62D474" w14:textId="77777777" w:rsidR="00C361A3" w:rsidRPr="00C361A3" w:rsidRDefault="00C361A3" w:rsidP="00C361A3">
      <w:pPr>
        <w:numPr>
          <w:ilvl w:val="0"/>
          <w:numId w:val="1"/>
        </w:numPr>
        <w:spacing w:after="0" w:line="240" w:lineRule="auto"/>
        <w:ind w:left="0" w:firstLine="426"/>
        <w:jc w:val="both"/>
        <w:rPr>
          <w:rFonts w:ascii="Times New Roman" w:hAnsi="Times New Roman" w:cs="Times New Roman"/>
          <w:sz w:val="24"/>
          <w:szCs w:val="24"/>
        </w:rPr>
      </w:pPr>
      <w:r w:rsidRPr="00C361A3">
        <w:rPr>
          <w:rFonts w:ascii="Times New Roman" w:hAnsi="Times New Roman" w:cs="Times New Roman"/>
          <w:b/>
          <w:sz w:val="24"/>
          <w:szCs w:val="24"/>
        </w:rPr>
        <w:t>Şikayetçinin İfadeye Çağırılması ve İfadesinin Alınması:</w:t>
      </w:r>
      <w:r w:rsidRPr="00C361A3">
        <w:rPr>
          <w:rFonts w:ascii="Times New Roman" w:hAnsi="Times New Roman" w:cs="Times New Roman"/>
          <w:sz w:val="24"/>
          <w:szCs w:val="24"/>
        </w:rPr>
        <w:t xml:space="preserve"> Şikayetçi, soruşturmaya konu olayı içeren davet yazısı ile önceden belirlenmiş gün, saat ve yerde ifade vermek üzere </w:t>
      </w:r>
      <w:r w:rsidRPr="00C361A3">
        <w:rPr>
          <w:rFonts w:ascii="Times New Roman" w:hAnsi="Times New Roman" w:cs="Times New Roman"/>
          <w:sz w:val="24"/>
          <w:szCs w:val="24"/>
        </w:rPr>
        <w:lastRenderedPageBreak/>
        <w:t>davet edilir. Davet yazısı müştekiye iadeli taahhütlü mektupla ya da elden tebliğ edilir ve tebliğe ilişkin belge soruşturma dosyasına konulur. Şikayetçiye varsa şikâyet dilekçesindeki imzanın kendisine ait olup olmadığı sorularak, ifadesinin alınmasına başlanır. Şikayetçinin, soruşturmacı ve bir zabıt kâtibi eşliğinde kimlik bilgileri ile tüm şikayetleri dinlenerek zapta geçirilir. Hazırlanan tutanağın altı soruşturmacı, şikayetçi ve zabıt katibince imzalanır. İki nüsha olarak hazırlanmış olan tutanağın bir örneği talebi halinde müştekiye verilir ve soruşturmacıda kalan nüshası üzerine, diğer nüshayı elden aldığına ilişkin imzası alınır. Müştekinin ifadesi, şüpheli ve tanıkların ifadesinden önce alınır. İfadesi alınırken şikayetçiye yemin teklif edilmez.</w:t>
      </w:r>
    </w:p>
    <w:p w14:paraId="797D4778"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562BC4EC"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Müşteki dilerse ifadesini yazılı olarak sunabilir ancak huzurda veya istinabe suretiyle kimlik tespiti yapılmalı, tutanağa ifadesini yazılı vermek istediği hususu yazılarak, belli bir süre verilmeli, tutanakta bu süreyi müştekinin de onayladığı belirtilmelidir.</w:t>
      </w:r>
    </w:p>
    <w:p w14:paraId="682E7529"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5951A785" w14:textId="77777777" w:rsidR="00C361A3" w:rsidRPr="00C361A3" w:rsidRDefault="00C361A3" w:rsidP="00C361A3">
      <w:pPr>
        <w:numPr>
          <w:ilvl w:val="0"/>
          <w:numId w:val="1"/>
        </w:numPr>
        <w:spacing w:after="0" w:line="240" w:lineRule="auto"/>
        <w:ind w:left="0" w:firstLine="426"/>
        <w:jc w:val="both"/>
        <w:rPr>
          <w:rFonts w:ascii="Times New Roman" w:hAnsi="Times New Roman" w:cs="Times New Roman"/>
          <w:sz w:val="24"/>
          <w:szCs w:val="24"/>
        </w:rPr>
      </w:pPr>
      <w:r w:rsidRPr="00C361A3">
        <w:rPr>
          <w:rFonts w:ascii="Times New Roman" w:hAnsi="Times New Roman" w:cs="Times New Roman"/>
          <w:b/>
          <w:sz w:val="24"/>
          <w:szCs w:val="24"/>
        </w:rPr>
        <w:t xml:space="preserve">Şüphelilerin İfadeye Çağırılması ve İfadesinin Alınması: </w:t>
      </w:r>
      <w:r w:rsidRPr="00C361A3">
        <w:rPr>
          <w:rFonts w:ascii="Times New Roman" w:hAnsi="Times New Roman" w:cs="Times New Roman"/>
          <w:sz w:val="24"/>
          <w:szCs w:val="24"/>
        </w:rPr>
        <w:t xml:space="preserve">Şüpheli, soruşturmaya konu olayı ve dolayısıyla ne ile suçlandığını tam olarak görebileceği şekilde hazırlanmış davet yazısı ile önceden belirlenmiş gün, saat ve yerde olaya ilişkin savunmasını yapmak üzere davet edilir. Davet yazısı şüpheliye iadeli taahhütlü mektupla ya da elden tebliğ ettirilir ve tebliğe ilişkin belge soruşturma dosyası kapsamına alınır. Davet yazısında, savunmasını yapması sırasında dilerse yanında bir avukat bulundurabileceği hususu ile ifade vermek üzere gelmemesi halinde zorla getirileceği ihtarı yer alır. Şüpheliye, talep etmesi halinde savunmasını hazırlayabilmesi amacıyla makul bir süre tercihen en az 7 gün verilir. Ancak disiplin ve ceza soruşturmasının birlikte yürütülmesi halinde disiplin soruşturmalarındaki usule de uyulması zorunludur. Sürelerin hesabında davet yazısının tebliğ edildiği gün hesaba katılmaz. Şüphelinin, soruşturmacı ve bir zabıt kâtibi eşliğinde kimlik bilgileri ile tüm savunmaları dinlenerek zapta geçirilir. Hazırlanan tutanak soruşturmacı, şüpheli, varsa avukatı ve zabıt katibince imzalanır. </w:t>
      </w:r>
    </w:p>
    <w:p w14:paraId="2C947C4C"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5771476D"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Şüpheli dilerse ifadesini yazılı olarak sunabilir ancak huzurda veya istinabe suretiyle kimlik tespiti yapılmalı, tutanağa şüphelinin savunmasını yazılı olarak vermek istediği hususu yazılarak, savunması için belli bir süre verilmeli, tutanakta bu süreyi şüphelinin de onayladığı belirtilmelidir. İki nüsha olarak hazırlanmış olan tutanağın bir örneği talebi halinde şüpheliye verilir ve soruşturmacıda kalan nüshası üzerine, diğer nüshayı elden aldığına ilişkin imzası alınır. Savunmasının alınması öncesinde veya sonrasında şüpheliye, doğru söylediğine ilişkin kesinlikle yemin teklif edilmez. </w:t>
      </w:r>
    </w:p>
    <w:p w14:paraId="2FCDF5F1"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0B60F41F" w14:textId="77777777" w:rsidR="00C361A3" w:rsidRPr="00C361A3" w:rsidRDefault="00C361A3" w:rsidP="00C361A3">
      <w:pPr>
        <w:numPr>
          <w:ilvl w:val="0"/>
          <w:numId w:val="1"/>
        </w:numPr>
        <w:spacing w:after="0" w:line="240" w:lineRule="auto"/>
        <w:ind w:left="0" w:firstLine="426"/>
        <w:jc w:val="both"/>
        <w:rPr>
          <w:rFonts w:ascii="Times New Roman" w:hAnsi="Times New Roman" w:cs="Times New Roman"/>
          <w:sz w:val="24"/>
          <w:szCs w:val="24"/>
        </w:rPr>
      </w:pPr>
      <w:r w:rsidRPr="00C361A3">
        <w:rPr>
          <w:rFonts w:ascii="Times New Roman" w:hAnsi="Times New Roman" w:cs="Times New Roman"/>
          <w:b/>
          <w:sz w:val="24"/>
          <w:szCs w:val="24"/>
        </w:rPr>
        <w:t xml:space="preserve">Tanıkların İfadeye Çağırılması ve İfadesinin Alınması: </w:t>
      </w:r>
      <w:r w:rsidRPr="00C361A3">
        <w:rPr>
          <w:rFonts w:ascii="Times New Roman" w:hAnsi="Times New Roman" w:cs="Times New Roman"/>
          <w:sz w:val="24"/>
          <w:szCs w:val="24"/>
        </w:rPr>
        <w:t>Tanık, soruşturmaya konu olayı içeren davet yazısı ile önceden belirlenmiş gün, saat ve yerde olaya ilişkin bilgi vermek üzere davet edilir. Davet yazısı tanığa iadeli taahhütlü mektupla ya da elden tebliğ ettirilerek tebliğe ilişkin belge soruşturma dosyasına eklenir. Tanığın kimlik bilgileri zapta geçirildikten sonra, olaya ilişkin bildikleri hakkında doğruyu söyleyeceği hususunda yemin ettirilir. Tanığın yemin etmekten imtina etmesi durumunda bu husus tutanağa geçirilir. İki nüsha hazırlanan tutanağın bir örneği talebi halinde tanığa verilir ve soruşturmacıda kalan nüshası üzerine, diğer nüshayı elden aldığına ilişkin imzası alınır. Tanığın ifade vermeye gelmemesi halinde zorla getirilmesini temin etmek üzere konu Rektörlük Makamına bildirilir.</w:t>
      </w:r>
    </w:p>
    <w:p w14:paraId="21820D60"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547D3A0"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Tanık dilerse ifadesini yazılı olarak sunabilir ancak huzurda veya istinabe (ifadesine başvurulacak kişinin Ankara dışında olması veya askerlik, tutukluluk gibi nedenlerle ifade vermeye gelemeyecek durumda olması halinde ifadesinin, bağlı olduğu mülki ya da idari amir ya da tutukluk halinde cezaevi savcısı tarafından alınmasının talep edilmesi) suretiyle kimlik tespiti yapılmalı, yazılı beyanının doğruluğuna ilişkin usulüne uygun yemin ettirilmeli, tutanağa </w:t>
      </w:r>
      <w:r w:rsidRPr="00C361A3">
        <w:rPr>
          <w:rFonts w:ascii="Times New Roman" w:hAnsi="Times New Roman" w:cs="Times New Roman"/>
          <w:sz w:val="24"/>
          <w:szCs w:val="24"/>
        </w:rPr>
        <w:lastRenderedPageBreak/>
        <w:t>ifadesini yazılı vermek istediği hususu yazılarak, belli bir süre verilmeli, tutanakta bu süreyi tanığın da onayladığı belirtilmelidir.</w:t>
      </w:r>
    </w:p>
    <w:p w14:paraId="7F8E59FE" w14:textId="77777777" w:rsidR="00C361A3" w:rsidRPr="00C361A3" w:rsidRDefault="00C361A3" w:rsidP="00C361A3">
      <w:pPr>
        <w:spacing w:after="0" w:line="240" w:lineRule="auto"/>
        <w:ind w:firstLine="426"/>
        <w:jc w:val="both"/>
        <w:rPr>
          <w:rFonts w:ascii="Times New Roman" w:hAnsi="Times New Roman" w:cs="Times New Roman"/>
          <w:b/>
          <w:sz w:val="24"/>
          <w:szCs w:val="24"/>
        </w:rPr>
      </w:pPr>
    </w:p>
    <w:p w14:paraId="131F604F" w14:textId="77777777" w:rsidR="00C361A3" w:rsidRPr="00C361A3" w:rsidRDefault="00C361A3" w:rsidP="00C361A3">
      <w:pPr>
        <w:numPr>
          <w:ilvl w:val="0"/>
          <w:numId w:val="1"/>
        </w:numPr>
        <w:spacing w:after="0" w:line="240" w:lineRule="auto"/>
        <w:ind w:left="0" w:firstLine="426"/>
        <w:jc w:val="both"/>
        <w:rPr>
          <w:rFonts w:ascii="Times New Roman" w:hAnsi="Times New Roman" w:cs="Times New Roman"/>
          <w:sz w:val="24"/>
          <w:szCs w:val="24"/>
        </w:rPr>
      </w:pPr>
      <w:r w:rsidRPr="00C361A3">
        <w:rPr>
          <w:rFonts w:ascii="Times New Roman" w:hAnsi="Times New Roman" w:cs="Times New Roman"/>
          <w:b/>
          <w:sz w:val="24"/>
          <w:szCs w:val="24"/>
        </w:rPr>
        <w:t xml:space="preserve">Diğer Delillerin Toplanması: </w:t>
      </w:r>
      <w:r w:rsidRPr="00C361A3">
        <w:rPr>
          <w:rFonts w:ascii="Times New Roman" w:hAnsi="Times New Roman" w:cs="Times New Roman"/>
          <w:sz w:val="24"/>
          <w:szCs w:val="24"/>
        </w:rPr>
        <w:t xml:space="preserve">Soruşturmacı, soruşturma konusu olayı açıklığa kavuşturmak için ifadeler dışında ihtiyaç duyduğu tüm bilgi ve belgeleri toplamak zorunda olup, yasal sınırlamalar dışında her türlü yetkiye de sahiptir. İhtiyaç duyduğunda keşif yapabilir, bilirkişi incelemesi yaptırabilir. </w:t>
      </w:r>
    </w:p>
    <w:p w14:paraId="35BE7411"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667780F2"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Soruşturmacı dosyada bilirkişi incelemesi ya da keşfe ihtiyaç olup olmadığına dosya kapsamında kendisi karar verecektir. Ancak özellikle de tıbbi hatadan kaynaklanan soruşturmalarda Üniversitemiz dışından bilirkişi incelemesi yaptırılması Danıştay kararları çerçevesinde bir zorunluluktur. Bu konuda Rektörlüğe gönderilen talep yazısında hangi alanda uzman bilirkişiye ihtiyaç duyulduğunun ve bilirkişi tarafından incelenmesi gereken hususların neler olduğunun açıklanması ve dosya suretinin yazıya eklenmesi gerekmektedir</w:t>
      </w:r>
    </w:p>
    <w:p w14:paraId="119ABCC7"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7848D13E" w14:textId="77777777" w:rsidR="00C361A3" w:rsidRPr="00C361A3" w:rsidRDefault="00C361A3" w:rsidP="00C361A3">
      <w:pPr>
        <w:numPr>
          <w:ilvl w:val="0"/>
          <w:numId w:val="1"/>
        </w:numPr>
        <w:spacing w:after="0" w:line="240" w:lineRule="auto"/>
        <w:ind w:left="0" w:firstLine="426"/>
        <w:jc w:val="both"/>
        <w:rPr>
          <w:rFonts w:ascii="Times New Roman" w:hAnsi="Times New Roman" w:cs="Times New Roman"/>
          <w:sz w:val="24"/>
          <w:szCs w:val="24"/>
        </w:rPr>
      </w:pPr>
      <w:r w:rsidRPr="00C361A3">
        <w:rPr>
          <w:rFonts w:ascii="Times New Roman" w:hAnsi="Times New Roman" w:cs="Times New Roman"/>
          <w:b/>
          <w:sz w:val="24"/>
          <w:szCs w:val="24"/>
        </w:rPr>
        <w:t xml:space="preserve">Fezlekenin Hazırlanması: </w:t>
      </w:r>
      <w:r w:rsidRPr="00C361A3">
        <w:rPr>
          <w:rFonts w:ascii="Times New Roman" w:hAnsi="Times New Roman" w:cs="Times New Roman"/>
          <w:sz w:val="24"/>
          <w:szCs w:val="24"/>
        </w:rPr>
        <w:t xml:space="preserve">Soruşturma aşamasında müştekiler, şüpheliler ile tüm tanıkların ifadeleri alındıktan ve gerekli görülen tüm deliller toplandıktan sonra soruşturmacı tarafından, kendisine soruşturma görevi veren amire sunulmak üzere fezleke hazırlanır. Fezlekede, soruşturmayı açan kurum, soruşturması istenilen olay, soruşturmanın ne şekilde başladığı, şüphelilerin isimleri (birden fazla şüpheli varsa tüm şüpheliler tek tek listelenmelidir) suçun niteliği, deliller, ifadelerin özeti, delillerin değerlendirilmesi, kanaat ve istem bölümleri yer alır. Fezlekenin ekinde, tebliğ belgeleri, tüm ifadeler ve yazılı ya da görsel bütün deliller yer alır. İstem bölümünde, soruşturmacı tarafından, şüpheli ya da şüphelilerin, yargılanmalarına yer olup olmadığına (lüzum-u muhakeme ya da men-i muhakeme) ilişkin kanaat bildirilir. </w:t>
      </w:r>
    </w:p>
    <w:p w14:paraId="1C902525"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60EDCC63"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Fezlekede her bir şüpheli, olay ya da delil ayrı değerlendirilmeli, kanaat gerekçelendirilmelidir. İstem bölümünde kanaat bildirilirken de şüphelilerin isimleri tek tek yazılmalıdır. </w:t>
      </w:r>
    </w:p>
    <w:p w14:paraId="732E59D6" w14:textId="77777777" w:rsidR="00C361A3" w:rsidRPr="00C361A3" w:rsidRDefault="00C361A3" w:rsidP="00C361A3">
      <w:pPr>
        <w:spacing w:after="0" w:line="240" w:lineRule="auto"/>
        <w:jc w:val="both"/>
        <w:rPr>
          <w:rFonts w:ascii="Times New Roman" w:hAnsi="Times New Roman" w:cs="Times New Roman"/>
          <w:sz w:val="24"/>
          <w:szCs w:val="24"/>
        </w:rPr>
      </w:pPr>
    </w:p>
    <w:p w14:paraId="5439503E" w14:textId="77777777" w:rsidR="00C361A3" w:rsidRPr="00C361A3" w:rsidRDefault="00C361A3" w:rsidP="00C361A3">
      <w:pPr>
        <w:spacing w:after="0" w:line="240" w:lineRule="auto"/>
        <w:ind w:firstLine="426"/>
        <w:jc w:val="both"/>
        <w:rPr>
          <w:rFonts w:ascii="Times New Roman" w:hAnsi="Times New Roman" w:cs="Times New Roman"/>
          <w:b/>
          <w:sz w:val="24"/>
          <w:szCs w:val="24"/>
        </w:rPr>
      </w:pPr>
      <w:r w:rsidRPr="00C361A3">
        <w:rPr>
          <w:rFonts w:ascii="Times New Roman" w:hAnsi="Times New Roman" w:cs="Times New Roman"/>
          <w:b/>
          <w:sz w:val="24"/>
          <w:szCs w:val="24"/>
        </w:rPr>
        <w:t>4. Soruşturmanın Sonuçlandırılması</w:t>
      </w:r>
    </w:p>
    <w:p w14:paraId="35C82AC6"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5B1DB602"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Soruşturmacının, soruşturmayı tamamlayarak hazırladığı fezleke ve dosyayı ilgili yetkili kurula gönderilmek üzere soruşturma emri veren makama sunması üzerine, soruşturma yapmaya yetkili makam tarafından fezleke ve ekleri, karar vermeye yetkili kurula ulaştırılır. Artık şüpheli hakkında karar verilmesi aşamasına gelinmiş olur. İlk soruşturma aşamasından sonra son soruşturmanın açılıp açılmamasına karar verecek kurullar 2547 sayılı Kanun’un 53/c-2 maddesinde yer almaktadır.</w:t>
      </w:r>
    </w:p>
    <w:p w14:paraId="1DDC60E4"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2A7DCF77"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sym w:font="Symbol" w:char="F0B7"/>
      </w:r>
      <w:r w:rsidRPr="00C361A3">
        <w:rPr>
          <w:rFonts w:ascii="Times New Roman" w:hAnsi="Times New Roman" w:cs="Times New Roman"/>
          <w:sz w:val="24"/>
          <w:szCs w:val="24"/>
        </w:rPr>
        <w:t xml:space="preserve"> Üniversite, fakülte, enstitü ve yüksekokul yönetim kurulu üyeleri, fakülte dekanları dekan yardımcıları, enstitü ve yüksekokul müdürleri ve yardımcıları ile üniversite genel sekreteri hakkında, rektörün başkanlığında rektörce görevlendirilen rektör yardımcılarından oluşacak üç kişilik kurul,</w:t>
      </w:r>
    </w:p>
    <w:p w14:paraId="378CCA65"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2F3D4714"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sym w:font="Symbol" w:char="F0B7"/>
      </w:r>
      <w:r w:rsidRPr="00C361A3">
        <w:rPr>
          <w:rFonts w:ascii="Times New Roman" w:hAnsi="Times New Roman" w:cs="Times New Roman"/>
          <w:sz w:val="24"/>
          <w:szCs w:val="24"/>
        </w:rPr>
        <w:t xml:space="preserve"> Öğretim elemanları, fakülte enstitü ve yüksekokul sekreterleri hakkında üniversite yönetim kurulu üyeleri arasından oluşturulacak üç kişilik kurul,</w:t>
      </w:r>
    </w:p>
    <w:p w14:paraId="5CDCA18E"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72EB5E1"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sym w:font="Symbol" w:char="F0B7"/>
      </w:r>
      <w:r w:rsidRPr="00C361A3">
        <w:rPr>
          <w:rFonts w:ascii="Times New Roman" w:hAnsi="Times New Roman" w:cs="Times New Roman"/>
          <w:sz w:val="24"/>
          <w:szCs w:val="24"/>
        </w:rPr>
        <w:t xml:space="preserve"> 657 sayılı Devlet Memurları Kanunu’na tabi memurlar hakkında, mahal itibariyle yetkili il idare kurulu tarafından son soruşturmanın açılıp açılmayacağına karar verilir.</w:t>
      </w:r>
    </w:p>
    <w:p w14:paraId="760444CA"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CCFE13C"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lastRenderedPageBreak/>
        <w:t xml:space="preserve">Yetkili kurullar tarafından verilen kararlar, Danıştay’ın görevli dairesince verilecek kararın türüne göre itiraz üzerine veya kendiliğinden nihai olarak karara bağlanır. </w:t>
      </w:r>
    </w:p>
    <w:p w14:paraId="6E008B58"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25EE92ED"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Üniversite Yönetim Kurulunca oluşturulacak kurulda, görevlendirilecek asıl ve yedek üyeler bir yıl için seçilirler. Süresi sona erenlerin tekrar seçilmeleri mümkündür.</w:t>
      </w:r>
    </w:p>
    <w:p w14:paraId="4C874D90"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7DB76161"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Son soruşturmanın açılıp açılmamasına karar verecek kurullar üye tam sayısı ile toplanır. Kurullara, üye olması halinde soruşturmacı, şikayetçi ve şüpheliler katılamazlar. Noksanlar yedek üyelerle tamamlanır.</w:t>
      </w:r>
    </w:p>
    <w:p w14:paraId="7F1FBECB"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7FE77BFC"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Kurullarda, her üye oyunu kabul veya ret yoluyla vermekle görevlidir. Çekimser oy kullanılamaz. Kararlarda oy çokluğu esası uygulanır. Kararın oy çokluğu ile alınması halinde karara katılmayan üye imzasının yanına katılmadığını belirtmeli ve ayrıca katılmama gerekçesini yazılı olarak vermelidir.</w:t>
      </w:r>
    </w:p>
    <w:p w14:paraId="6E8C77B1"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DD8B8F7" w14:textId="77777777" w:rsidR="00C361A3" w:rsidRPr="00C361A3" w:rsidRDefault="00C361A3" w:rsidP="00C361A3">
      <w:pPr>
        <w:spacing w:after="0" w:line="240" w:lineRule="auto"/>
        <w:ind w:firstLine="426"/>
        <w:jc w:val="both"/>
        <w:rPr>
          <w:rFonts w:ascii="Times New Roman" w:hAnsi="Times New Roman" w:cs="Times New Roman"/>
          <w:b/>
          <w:sz w:val="24"/>
          <w:szCs w:val="24"/>
        </w:rPr>
      </w:pPr>
      <w:r w:rsidRPr="00C361A3">
        <w:rPr>
          <w:rFonts w:ascii="Times New Roman" w:hAnsi="Times New Roman" w:cs="Times New Roman"/>
          <w:b/>
          <w:sz w:val="24"/>
          <w:szCs w:val="24"/>
        </w:rPr>
        <w:t>5. Yetkili Kurullar ile Danıştay Tarafından Verilecek Kararlar ve İtiraz</w:t>
      </w:r>
    </w:p>
    <w:p w14:paraId="1E3C925B"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4C7707F"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2547 sayılı Kanun’un 53/c maddesinde, yukarıda sayılan karar kurullarınca son soruşturmanın açılması (lüzum-u muhakeme) veya son soruşturmanın açılmaması (men-i muhakeme) kararları verileceği belirtilmiştir.</w:t>
      </w:r>
    </w:p>
    <w:p w14:paraId="42337DE5" w14:textId="77777777" w:rsidR="00C361A3" w:rsidRPr="00C361A3" w:rsidRDefault="00C361A3" w:rsidP="00C361A3">
      <w:pPr>
        <w:numPr>
          <w:ilvl w:val="0"/>
          <w:numId w:val="2"/>
        </w:numPr>
        <w:spacing w:after="0" w:line="240" w:lineRule="auto"/>
        <w:ind w:left="0" w:firstLine="426"/>
        <w:jc w:val="both"/>
        <w:rPr>
          <w:rFonts w:ascii="Times New Roman" w:hAnsi="Times New Roman" w:cs="Times New Roman"/>
          <w:b/>
          <w:sz w:val="24"/>
          <w:szCs w:val="24"/>
        </w:rPr>
      </w:pPr>
      <w:r w:rsidRPr="00C361A3">
        <w:rPr>
          <w:rFonts w:ascii="Times New Roman" w:hAnsi="Times New Roman" w:cs="Times New Roman"/>
          <w:b/>
          <w:sz w:val="24"/>
          <w:szCs w:val="24"/>
        </w:rPr>
        <w:t>Lüzum-u Muhakeme (Son Soruşturmanın Açılması) Kararı</w:t>
      </w:r>
    </w:p>
    <w:p w14:paraId="4C719827" w14:textId="77777777" w:rsidR="00C361A3" w:rsidRPr="00C361A3" w:rsidRDefault="00C361A3" w:rsidP="00C361A3">
      <w:pPr>
        <w:spacing w:after="0" w:line="240" w:lineRule="auto"/>
        <w:ind w:firstLine="426"/>
        <w:jc w:val="both"/>
        <w:rPr>
          <w:rFonts w:ascii="Times New Roman" w:hAnsi="Times New Roman" w:cs="Times New Roman"/>
          <w:b/>
          <w:sz w:val="24"/>
          <w:szCs w:val="24"/>
        </w:rPr>
      </w:pPr>
    </w:p>
    <w:p w14:paraId="3CE6E177"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2547 sayılı Kanun’un 53. maddesine göre, şüphelinin </w:t>
      </w:r>
      <w:proofErr w:type="spellStart"/>
      <w:r w:rsidRPr="00C361A3">
        <w:rPr>
          <w:rFonts w:ascii="Times New Roman" w:hAnsi="Times New Roman" w:cs="Times New Roman"/>
          <w:sz w:val="24"/>
          <w:szCs w:val="24"/>
        </w:rPr>
        <w:t>müsnet</w:t>
      </w:r>
      <w:proofErr w:type="spellEnd"/>
      <w:r w:rsidRPr="00C361A3">
        <w:rPr>
          <w:rFonts w:ascii="Times New Roman" w:hAnsi="Times New Roman" w:cs="Times New Roman"/>
          <w:sz w:val="24"/>
          <w:szCs w:val="24"/>
        </w:rPr>
        <w:t xml:space="preserve"> suçu işlediğine ilişkin inandırıcı ve yeterli delil bulunursa, şüphelinin yargılanmasını sağlayan lüzum-u muhakeme kararı verilir.</w:t>
      </w:r>
    </w:p>
    <w:p w14:paraId="00646F25"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28089AE9"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Yetkili kurul kararlarında, şüphelinin adı, soyadı, </w:t>
      </w:r>
      <w:proofErr w:type="spellStart"/>
      <w:r w:rsidRPr="00C361A3">
        <w:rPr>
          <w:rFonts w:ascii="Times New Roman" w:hAnsi="Times New Roman" w:cs="Times New Roman"/>
          <w:sz w:val="24"/>
          <w:szCs w:val="24"/>
        </w:rPr>
        <w:t>müsnet</w:t>
      </w:r>
      <w:proofErr w:type="spellEnd"/>
      <w:r w:rsidRPr="00C361A3">
        <w:rPr>
          <w:rFonts w:ascii="Times New Roman" w:hAnsi="Times New Roman" w:cs="Times New Roman"/>
          <w:sz w:val="24"/>
          <w:szCs w:val="24"/>
        </w:rPr>
        <w:t xml:space="preserve"> suçu işlediği sıradaki memuriyet unvanı ve görevi, şüpheliler hakkında cezai kovuşturmayı gerektiren suç konusu eylemin neden ibaret olduğu ve isnat edilen suç konusu eylemlerin hangi tarihte işlendiği, her eylem hakkında verilen kararın gerekçesi, verilen kararın oy birliği ile mi yoksa oy çokluğu ile mi verildiği ve deliller gösterilir.</w:t>
      </w:r>
    </w:p>
    <w:p w14:paraId="6D2BA686"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3EA04EA7"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Lüzum-u muhakeme kararları şüpheliye ve şikayetçiye tebliğ edilir. Şüphelinin bulunamaması durumunda, 7201 sayılı Tebligat Kanunu’nda belirtilen ilanen tebliğ yolu ile tebligat yapılır.</w:t>
      </w:r>
    </w:p>
    <w:p w14:paraId="26F62CC5"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4D203BB6"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Lüzum-u muhakeme kararına karşı şüphelinin 10 gün içinde itiraz hakkı bulunmaktadır. İtiraz dilekçesi doğrudan Danıştay 1. Daire Başkanlığına verilebileceği gibi Danıştay 1.Daire Başkanlığına gönderilmek üzere soruşturmayı açan makama da verilebilir. Karara karşı itiraz edilmesi halinde, kararın tebliğine ilişkin belge ve itiraz dilekçesi de eklenmek suretiyle fezleke, yetkili kurul kararı ve soruşturma dosyası Danıştay’a gönderilmek üzere ivedilikle Rektörlük Makamına iletilir. Yasal süre içinde itiraz edilmez veya karar üst kurulca (Danıştay) onanırsa kesinleşir ve dosya, itiraz üzerine kesinleşmişse Danıştay Başkanlığınca, itiraz edilmeksizin kesinleşmişse Rektörlük Makamı tarafından yetkili Cumhuriyet Başsavcılığına gönderilir. </w:t>
      </w:r>
    </w:p>
    <w:p w14:paraId="689F8D28"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4BF721C7"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İtiraz sonucu kararı inceleyen kurul, lüzum-u muhakeme kararını bozarak şüphelinin men-i muhakemesine karar verebilir. Bu durumda ise şüpheli yargılanmaz ve bu karar kesindir. Kesinleşen kararların müşteki ve şüpheliye tebliği ile bilgi için Personel Dairesi Başkanlığına ve şüphelinin dairesi amirine gönderilmesi gerekir. </w:t>
      </w:r>
    </w:p>
    <w:p w14:paraId="62D7BEDC"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09C1E986" w14:textId="77777777" w:rsidR="00C361A3" w:rsidRPr="00C361A3" w:rsidRDefault="00C361A3" w:rsidP="00C361A3">
      <w:pPr>
        <w:numPr>
          <w:ilvl w:val="0"/>
          <w:numId w:val="2"/>
        </w:numPr>
        <w:spacing w:after="0" w:line="240" w:lineRule="auto"/>
        <w:ind w:left="0" w:firstLine="426"/>
        <w:jc w:val="both"/>
        <w:rPr>
          <w:rFonts w:ascii="Times New Roman" w:hAnsi="Times New Roman" w:cs="Times New Roman"/>
          <w:b/>
          <w:sz w:val="24"/>
          <w:szCs w:val="24"/>
        </w:rPr>
      </w:pPr>
      <w:r w:rsidRPr="00C361A3">
        <w:rPr>
          <w:rFonts w:ascii="Times New Roman" w:hAnsi="Times New Roman" w:cs="Times New Roman"/>
          <w:b/>
          <w:sz w:val="24"/>
          <w:szCs w:val="24"/>
        </w:rPr>
        <w:lastRenderedPageBreak/>
        <w:t xml:space="preserve">Men-i Muhakeme (Son Soruşturmanın Açılmaması) Kararı </w:t>
      </w:r>
    </w:p>
    <w:p w14:paraId="6F2866DC" w14:textId="77777777" w:rsidR="00C361A3" w:rsidRPr="00C361A3" w:rsidRDefault="00C361A3" w:rsidP="00C361A3">
      <w:pPr>
        <w:spacing w:after="0" w:line="240" w:lineRule="auto"/>
        <w:ind w:firstLine="426"/>
        <w:jc w:val="both"/>
        <w:rPr>
          <w:rFonts w:ascii="Times New Roman" w:hAnsi="Times New Roman" w:cs="Times New Roman"/>
          <w:b/>
          <w:sz w:val="24"/>
          <w:szCs w:val="24"/>
        </w:rPr>
      </w:pPr>
    </w:p>
    <w:p w14:paraId="7BFEF410"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Şüpheli hakkında suç sabit bulunmaz, kanuni unsurları teşekkül etmez, suç şüpheliye atfedilemez ya da olay suç olmakla beraber şüphelinin suçu işlediği konusunda kamu davasının açılmasına yetecek ölçüde kanıt elde edilemezse men-i muhakeme kararı verilir.</w:t>
      </w:r>
    </w:p>
    <w:p w14:paraId="7EE60A9C"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5A320C2A"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Men-i muhakeme kararı, şüpheli hakkında son soruşturma yapılmasını önler ve bu karar şüpheliye ve varsa müştekiye bildirilir. Şikayetçiler bu kararlara 10 gün içinde itiraz edebilirler. İtiraz dilekçesi doğrudan Danıştay 1. Daire Başkanlığına verilebileceği gibi Danıştay 1.Daire Başkanlığına gönderilmek üzere soruşturmayı açan makama da verilebilir. Karara karşı itiraz edilmesi halinde, kararın tebliğine ilişkin belge ve itiraz dilekçesi de eklenmek suretiyle fezleke, yetkili kurul kararı ve soruşturma dosyası Danıştay’a iletilmek üzere Rektörlük Makamına gönderilir. İtiraz edilsin veya edilmesin, men-i muhakeme kararları incelenmek üzere kendiliğinden bir üst kurula (Danıştay’a) gider ve yapılan inceleme sonucunda karar onanırsa men-i muhakeme kararı kesinleşir. </w:t>
      </w:r>
    </w:p>
    <w:p w14:paraId="4D098D16"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02765911"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Danıştay men-i muhakeme kararlarını bozup lüzum-u muhakeme kararı da verebilir. Danıştay tarafından verilen kararlar kesin olup bunlara karşı itiraz yoluna başvurulamaz. Kesinleşen kararların müşteki ve şüpheliye tebliği ile bilgi için Personel Dairesi Başkanlığına ve şüphelinin disiplin amirine gönderilmesi gerekir.</w:t>
      </w:r>
    </w:p>
    <w:p w14:paraId="67856988" w14:textId="77777777" w:rsidR="00C361A3" w:rsidRPr="00C361A3" w:rsidRDefault="00C361A3" w:rsidP="00C361A3">
      <w:pPr>
        <w:spacing w:after="0" w:line="240" w:lineRule="auto"/>
        <w:jc w:val="both"/>
        <w:rPr>
          <w:rFonts w:ascii="Times New Roman" w:hAnsi="Times New Roman" w:cs="Times New Roman"/>
          <w:sz w:val="24"/>
          <w:szCs w:val="24"/>
        </w:rPr>
      </w:pPr>
    </w:p>
    <w:p w14:paraId="042E7527" w14:textId="77777777" w:rsidR="00C361A3" w:rsidRPr="00C361A3" w:rsidRDefault="00C361A3" w:rsidP="00C361A3">
      <w:pPr>
        <w:spacing w:after="0" w:line="240" w:lineRule="auto"/>
        <w:ind w:firstLine="426"/>
        <w:jc w:val="both"/>
        <w:rPr>
          <w:rFonts w:ascii="Times New Roman" w:hAnsi="Times New Roman" w:cs="Times New Roman"/>
          <w:b/>
          <w:sz w:val="24"/>
          <w:szCs w:val="24"/>
        </w:rPr>
      </w:pPr>
      <w:r w:rsidRPr="00C361A3">
        <w:rPr>
          <w:rFonts w:ascii="Times New Roman" w:hAnsi="Times New Roman" w:cs="Times New Roman"/>
          <w:b/>
          <w:sz w:val="24"/>
          <w:szCs w:val="24"/>
        </w:rPr>
        <w:t>6. İstisnalar</w:t>
      </w:r>
    </w:p>
    <w:p w14:paraId="05511E7B"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40B08D6"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Yükseköğretim personelinin işlemiş olduğu tüm suçlar hakkındaki soruşturma 2547 sayılı Kanun hükümlerine göre yürütülmez. Bazı suçlar genel hükümlere göre Cumhuriyet Savcılıklarınca soruşturulurlar. Bu istisnaları şöyle sıralayabiliriz:</w:t>
      </w:r>
    </w:p>
    <w:p w14:paraId="065EBD68"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7B94F314" w14:textId="77777777" w:rsidR="00C361A3" w:rsidRPr="00C361A3" w:rsidRDefault="00C361A3" w:rsidP="00C361A3">
      <w:pPr>
        <w:numPr>
          <w:ilvl w:val="0"/>
          <w:numId w:val="3"/>
        </w:numPr>
        <w:spacing w:after="0" w:line="240" w:lineRule="auto"/>
        <w:ind w:left="0" w:firstLine="426"/>
        <w:jc w:val="both"/>
        <w:rPr>
          <w:rFonts w:ascii="Times New Roman" w:hAnsi="Times New Roman" w:cs="Times New Roman"/>
          <w:sz w:val="24"/>
          <w:szCs w:val="24"/>
        </w:rPr>
      </w:pPr>
      <w:r w:rsidRPr="00C361A3">
        <w:rPr>
          <w:rFonts w:ascii="Times New Roman" w:hAnsi="Times New Roman" w:cs="Times New Roman"/>
          <w:sz w:val="24"/>
          <w:szCs w:val="24"/>
        </w:rPr>
        <w:t>2547 sayılı Kanun’un 53/c-7 maddesinde sayılan suçlar: İdeolojik amaçlarla Anayasada yer alan temel hak ve hürriyetleri, devletin ülkesi ve milletiyle bölünmez bütünlüğünü veya dil, ırk, sınıf, din ve mezhep ayrılığına dayanılarak nitelikleri Anayasada belirtilen Cumhuriyeti ortadan kaldırmak maksadıyla işlenen suçlarla bunlara irtibatlı suçlar, öğrenme ve öğretme hürriyetini doğrudan veya dolaylı olarak kısıtlayan, kurumların sükun, huzur ve çalışma düzenini bozan boykot, işgal, engelleme bunları teşvik ve tahrik, anarşik ve ideolojik olaylara ilişkin suçlar ile ağır cezayı gerektiren suçüstü halleri,</w:t>
      </w:r>
    </w:p>
    <w:p w14:paraId="1C3E3E3A"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AE60992" w14:textId="77777777" w:rsidR="00C361A3" w:rsidRPr="00C361A3" w:rsidRDefault="00C361A3" w:rsidP="00C361A3">
      <w:pPr>
        <w:numPr>
          <w:ilvl w:val="0"/>
          <w:numId w:val="3"/>
        </w:numPr>
        <w:spacing w:after="0" w:line="240" w:lineRule="auto"/>
        <w:ind w:left="0"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5816 sayılı Atatürk Aleyhine İşlenen Fiillerin Takibi Hakkındaki Kanun Hükümleri </w:t>
      </w:r>
    </w:p>
    <w:p w14:paraId="0609D8FF"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42D64F88" w14:textId="77777777" w:rsidR="00C361A3" w:rsidRPr="00C361A3" w:rsidRDefault="00C361A3" w:rsidP="00C361A3">
      <w:pPr>
        <w:numPr>
          <w:ilvl w:val="0"/>
          <w:numId w:val="3"/>
        </w:numPr>
        <w:spacing w:after="0" w:line="240" w:lineRule="auto"/>
        <w:ind w:left="0"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3628 sayılı Mal Bildiriminde Bulunulması, Rüşvet ve Yolsuzluklarla Mücadele Kanunu’nun 17. maddesinde yazılı suçlar, </w:t>
      </w:r>
    </w:p>
    <w:p w14:paraId="32B5E448"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070369C3"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Bu hallerde soruşturmayı savcı doğrudan yapar.</w:t>
      </w:r>
    </w:p>
    <w:p w14:paraId="28FD1BE2"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1236FDE" w14:textId="77777777" w:rsidR="00C361A3" w:rsidRPr="00C361A3" w:rsidRDefault="00C361A3" w:rsidP="00C361A3">
      <w:pPr>
        <w:spacing w:after="0" w:line="240" w:lineRule="auto"/>
        <w:ind w:firstLine="426"/>
        <w:jc w:val="both"/>
        <w:rPr>
          <w:rFonts w:ascii="Times New Roman" w:hAnsi="Times New Roman" w:cs="Times New Roman"/>
          <w:b/>
          <w:sz w:val="24"/>
          <w:szCs w:val="24"/>
        </w:rPr>
      </w:pPr>
      <w:r w:rsidRPr="00C361A3">
        <w:rPr>
          <w:rFonts w:ascii="Times New Roman" w:hAnsi="Times New Roman" w:cs="Times New Roman"/>
          <w:b/>
          <w:sz w:val="24"/>
          <w:szCs w:val="24"/>
        </w:rPr>
        <w:t>7. 4483 Sayılı Memurlar ve Diğer Kamu Görevlilerinin Yargılanması Hakkında Kanun’un 2547 Sayılı Kanun’a Tabi Personele Uygulanması</w:t>
      </w:r>
    </w:p>
    <w:p w14:paraId="1787450F"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3B7106C6"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2547 sayılı Yükseköğretim Kanunu’nun 2653 sayılı Kanun ile değişik 53 üncü maddesi (c) bendinde; Yükseköğretim üst kuruluşları başkan ve üyeleri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ile ilgili olarak uygulanacak ceza soruşturması </w:t>
      </w:r>
      <w:r w:rsidRPr="00C361A3">
        <w:rPr>
          <w:rFonts w:ascii="Times New Roman" w:hAnsi="Times New Roman" w:cs="Times New Roman"/>
          <w:sz w:val="24"/>
          <w:szCs w:val="24"/>
        </w:rPr>
        <w:lastRenderedPageBreak/>
        <w:t xml:space="preserve">usulü düzenlenmiştir. Buna göre anılan bendin 2 sayılı alt bendinde yukarıda belirtilen kamu görevlileri hakkında son soruşturmanın açılıp açılmamasına karar verecek kurullar; 4 sayılı alt bendinde son soruşturmanın açılıp açılmamasına ilişkin kararları inceleme yetkisine sahip olan üst kurullar sayılmış ve anılan bendin 8 sayılı alt bendinde </w:t>
      </w:r>
      <w:proofErr w:type="gramStart"/>
      <w:r w:rsidRPr="00C361A3">
        <w:rPr>
          <w:rFonts w:ascii="Times New Roman" w:hAnsi="Times New Roman" w:cs="Times New Roman"/>
          <w:sz w:val="24"/>
          <w:szCs w:val="24"/>
        </w:rPr>
        <w:t>de;</w:t>
      </w:r>
      <w:proofErr w:type="gramEnd"/>
      <w:r w:rsidRPr="00C361A3">
        <w:rPr>
          <w:rFonts w:ascii="Times New Roman" w:hAnsi="Times New Roman" w:cs="Times New Roman"/>
          <w:sz w:val="24"/>
          <w:szCs w:val="24"/>
        </w:rPr>
        <w:t xml:space="preserve"> </w:t>
      </w:r>
      <w:r w:rsidRPr="00C361A3">
        <w:rPr>
          <w:rFonts w:ascii="Times New Roman" w:hAnsi="Times New Roman" w:cs="Times New Roman"/>
          <w:i/>
          <w:sz w:val="24"/>
          <w:szCs w:val="24"/>
        </w:rPr>
        <w:t>"Bu Kanunda yer almamış hususlarda 2/12/1999 tarihli ve 4483 sayılı Memurlar ve Diğer Kamu Görevlilerinin Yargılanması Hakkında Kanun hükümleri uygulanır.</w:t>
      </w:r>
      <w:r w:rsidRPr="00C361A3">
        <w:rPr>
          <w:rFonts w:ascii="Times New Roman" w:hAnsi="Times New Roman" w:cs="Times New Roman"/>
          <w:i/>
          <w:sz w:val="24"/>
          <w:szCs w:val="24"/>
          <w:vertAlign w:val="superscript"/>
        </w:rPr>
        <w:t> </w:t>
      </w:r>
      <w:r w:rsidRPr="00C361A3">
        <w:rPr>
          <w:rFonts w:ascii="Times New Roman" w:hAnsi="Times New Roman" w:cs="Times New Roman"/>
          <w:i/>
          <w:sz w:val="24"/>
          <w:szCs w:val="24"/>
        </w:rPr>
        <w:t>"</w:t>
      </w:r>
      <w:r w:rsidRPr="00C361A3">
        <w:rPr>
          <w:rFonts w:ascii="Times New Roman" w:hAnsi="Times New Roman" w:cs="Times New Roman"/>
          <w:sz w:val="24"/>
          <w:szCs w:val="24"/>
        </w:rPr>
        <w:t xml:space="preserve"> hükmü yer almıştır.</w:t>
      </w:r>
    </w:p>
    <w:p w14:paraId="7A1DA7DA"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5EBD52CD"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 xml:space="preserve">4483 sayılı Memurlar ve Diğer Kamu Görevlilerinin Yargılanması Hakkında Kanun’un 2. maddesinde; </w:t>
      </w:r>
      <w:r w:rsidRPr="00C361A3">
        <w:rPr>
          <w:rFonts w:ascii="Times New Roman" w:hAnsi="Times New Roman" w:cs="Times New Roman"/>
          <w:i/>
          <w:sz w:val="24"/>
          <w:szCs w:val="24"/>
        </w:rPr>
        <w:t>"Bu Kanun’un Devletin ve diğer kamu tüzel kişilerinin genel idare esaslarına göre yürüttükleri kamu hizmetlerinin gerektirdiği asli ve sürekli görevleri ifa eden memurlar ve diğer kamu görevlilerinin görevleri sebebi ile işledikleri suçlar hakkında uygulanacağı, görevleri ve sıfatları sebebi ile özel soruşturma ve kovuşturma usullerine tabi olanlara ilişkin kanun hükümleri ile suçun niteliği yönünden kanunlarda gösterilen soruşturma ve kovuşturma usullerine ilişkin hükümlerin saklı olduğu"</w:t>
      </w:r>
      <w:r w:rsidRPr="00C361A3">
        <w:rPr>
          <w:rFonts w:ascii="Times New Roman" w:hAnsi="Times New Roman" w:cs="Times New Roman"/>
          <w:sz w:val="24"/>
          <w:szCs w:val="24"/>
        </w:rPr>
        <w:t>, 6. maddesinde; ön inceleme ile görevlendirilen kişi veya kişiler, bakanlık müfettişleri ile kendilerini görevlendiren merciin bütün yetkilerine haiz olup bu Kanunda hüküm bulunmayan hususlarda Ceza Muhakemesi Kanunu’na göre işlem yapabilecekleri hükme bağlanmıştır.</w:t>
      </w:r>
    </w:p>
    <w:p w14:paraId="201E5F03"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482FB614" w14:textId="77777777" w:rsidR="00C361A3" w:rsidRPr="00C361A3" w:rsidRDefault="00C361A3" w:rsidP="00C361A3">
      <w:pPr>
        <w:spacing w:after="0" w:line="240" w:lineRule="auto"/>
        <w:ind w:firstLine="426"/>
        <w:jc w:val="both"/>
        <w:rPr>
          <w:rFonts w:ascii="Times New Roman" w:hAnsi="Times New Roman" w:cs="Times New Roman"/>
          <w:sz w:val="24"/>
          <w:szCs w:val="24"/>
        </w:rPr>
      </w:pPr>
      <w:r w:rsidRPr="00C361A3">
        <w:rPr>
          <w:rFonts w:ascii="Times New Roman" w:hAnsi="Times New Roman" w:cs="Times New Roman"/>
          <w:sz w:val="24"/>
          <w:szCs w:val="24"/>
        </w:rPr>
        <w:t>Dolayısıyla 2547 sayılı Kanun’un 53. maddesinin (c) bendinde sayılan kamu görevlileri ile ilgili olarak yapılacak ceza soruşturmalarında; anılan bendin alt bentlerine ilişkin hükümler uygulanacaktır. 4483 sayılı Kanun hükümlerinin bu personel açısından uygulanma imkanı bulunmamaktadır. Sadece 2547 sayılı Kanunda yer almamış olan hususlarda 4483 sayılı Kanun hükümleri uygulanacak, her iki Kanunda da hüküm bulunmayan hallerde Ceza Muhakemesi Usulü Kanunu hükümleri uygulanacaktır.</w:t>
      </w:r>
    </w:p>
    <w:p w14:paraId="6968FBBF"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7B8ED075" w14:textId="77777777" w:rsidR="00C361A3" w:rsidRPr="00C361A3" w:rsidRDefault="00C361A3" w:rsidP="00C361A3">
      <w:pPr>
        <w:spacing w:after="0" w:line="240" w:lineRule="auto"/>
        <w:ind w:firstLine="426"/>
        <w:jc w:val="both"/>
        <w:rPr>
          <w:rFonts w:ascii="Times New Roman" w:hAnsi="Times New Roman" w:cs="Times New Roman"/>
          <w:sz w:val="24"/>
          <w:szCs w:val="24"/>
          <w:lang w:val="en-US"/>
        </w:rPr>
      </w:pPr>
    </w:p>
    <w:p w14:paraId="30E0254C"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220393C7" w14:textId="77777777" w:rsidR="00C361A3" w:rsidRPr="00C361A3" w:rsidRDefault="00C361A3" w:rsidP="00C361A3">
      <w:pPr>
        <w:spacing w:after="0" w:line="240" w:lineRule="auto"/>
        <w:ind w:firstLine="426"/>
        <w:jc w:val="both"/>
        <w:rPr>
          <w:rFonts w:ascii="Times New Roman" w:hAnsi="Times New Roman" w:cs="Times New Roman"/>
          <w:sz w:val="24"/>
          <w:szCs w:val="24"/>
        </w:rPr>
      </w:pPr>
    </w:p>
    <w:p w14:paraId="1B75D9DC" w14:textId="77777777" w:rsidR="00743B7A" w:rsidRPr="00C361A3" w:rsidRDefault="00743B7A" w:rsidP="00C361A3">
      <w:pPr>
        <w:spacing w:after="0" w:line="240" w:lineRule="auto"/>
        <w:ind w:firstLine="426"/>
        <w:jc w:val="both"/>
        <w:rPr>
          <w:rFonts w:ascii="Times New Roman" w:hAnsi="Times New Roman" w:cs="Times New Roman"/>
          <w:sz w:val="24"/>
          <w:szCs w:val="24"/>
        </w:rPr>
      </w:pPr>
    </w:p>
    <w:sectPr w:rsidR="00743B7A" w:rsidRPr="00C361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3276" w14:textId="77777777" w:rsidR="00142A93" w:rsidRDefault="00142A93" w:rsidP="00C361A3">
      <w:pPr>
        <w:spacing w:after="0" w:line="240" w:lineRule="auto"/>
      </w:pPr>
      <w:r>
        <w:separator/>
      </w:r>
    </w:p>
  </w:endnote>
  <w:endnote w:type="continuationSeparator" w:id="0">
    <w:p w14:paraId="170F063A" w14:textId="77777777" w:rsidR="00142A93" w:rsidRDefault="00142A93" w:rsidP="00C3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22872"/>
      <w:docPartObj>
        <w:docPartGallery w:val="Page Numbers (Bottom of Page)"/>
        <w:docPartUnique/>
      </w:docPartObj>
    </w:sdtPr>
    <w:sdtContent>
      <w:p w14:paraId="3702F536" w14:textId="2C1A098A" w:rsidR="00C361A3" w:rsidRDefault="00C361A3">
        <w:pPr>
          <w:pStyle w:val="AltBilgi"/>
          <w:jc w:val="center"/>
        </w:pPr>
        <w:r>
          <w:fldChar w:fldCharType="begin"/>
        </w:r>
        <w:r>
          <w:instrText>PAGE   \* MERGEFORMAT</w:instrText>
        </w:r>
        <w:r>
          <w:fldChar w:fldCharType="separate"/>
        </w:r>
        <w:r>
          <w:t>2</w:t>
        </w:r>
        <w:r>
          <w:fldChar w:fldCharType="end"/>
        </w:r>
      </w:p>
    </w:sdtContent>
  </w:sdt>
  <w:p w14:paraId="20711FB9" w14:textId="77777777" w:rsidR="00C361A3" w:rsidRDefault="00C361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FD74" w14:textId="77777777" w:rsidR="00142A93" w:rsidRDefault="00142A93" w:rsidP="00C361A3">
      <w:pPr>
        <w:spacing w:after="0" w:line="240" w:lineRule="auto"/>
      </w:pPr>
      <w:r>
        <w:separator/>
      </w:r>
    </w:p>
  </w:footnote>
  <w:footnote w:type="continuationSeparator" w:id="0">
    <w:p w14:paraId="591478B7" w14:textId="77777777" w:rsidR="00142A93" w:rsidRDefault="00142A93" w:rsidP="00C36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25C"/>
    <w:multiLevelType w:val="hybridMultilevel"/>
    <w:tmpl w:val="D7BE1454"/>
    <w:lvl w:ilvl="0" w:tplc="ED30D0CE">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49E05CC2"/>
    <w:multiLevelType w:val="hybridMultilevel"/>
    <w:tmpl w:val="9882353E"/>
    <w:lvl w:ilvl="0" w:tplc="ED30D0CE">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757256DD"/>
    <w:multiLevelType w:val="hybridMultilevel"/>
    <w:tmpl w:val="63EA680A"/>
    <w:lvl w:ilvl="0" w:tplc="ED30D0CE">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480346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696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1449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89"/>
    <w:rsid w:val="00142A93"/>
    <w:rsid w:val="00333A89"/>
    <w:rsid w:val="003B5025"/>
    <w:rsid w:val="00635FB3"/>
    <w:rsid w:val="00743B7A"/>
    <w:rsid w:val="00C361A3"/>
    <w:rsid w:val="00EE0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BB88"/>
  <w15:chartTrackingRefBased/>
  <w15:docId w15:val="{FFA58F84-BBE3-4340-93EA-3B15F4E2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33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33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33A8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33A8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33A8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33A8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3A8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3A8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3A8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A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3A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3A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3A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3A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3A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3A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3A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3A89"/>
    <w:rPr>
      <w:rFonts w:eastAsiaTheme="majorEastAsia" w:cstheme="majorBidi"/>
      <w:color w:val="272727" w:themeColor="text1" w:themeTint="D8"/>
    </w:rPr>
  </w:style>
  <w:style w:type="paragraph" w:styleId="KonuBal">
    <w:name w:val="Title"/>
    <w:basedOn w:val="Normal"/>
    <w:next w:val="Normal"/>
    <w:link w:val="KonuBalChar"/>
    <w:uiPriority w:val="10"/>
    <w:qFormat/>
    <w:rsid w:val="00333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3A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3A8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3A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3A8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3A89"/>
    <w:rPr>
      <w:i/>
      <w:iCs/>
      <w:color w:val="404040" w:themeColor="text1" w:themeTint="BF"/>
    </w:rPr>
  </w:style>
  <w:style w:type="paragraph" w:styleId="ListeParagraf">
    <w:name w:val="List Paragraph"/>
    <w:basedOn w:val="Normal"/>
    <w:uiPriority w:val="34"/>
    <w:qFormat/>
    <w:rsid w:val="00333A89"/>
    <w:pPr>
      <w:ind w:left="720"/>
      <w:contextualSpacing/>
    </w:pPr>
  </w:style>
  <w:style w:type="character" w:styleId="GlVurgulama">
    <w:name w:val="Intense Emphasis"/>
    <w:basedOn w:val="VarsaylanParagrafYazTipi"/>
    <w:uiPriority w:val="21"/>
    <w:qFormat/>
    <w:rsid w:val="00333A89"/>
    <w:rPr>
      <w:i/>
      <w:iCs/>
      <w:color w:val="0F4761" w:themeColor="accent1" w:themeShade="BF"/>
    </w:rPr>
  </w:style>
  <w:style w:type="paragraph" w:styleId="GlAlnt">
    <w:name w:val="Intense Quote"/>
    <w:basedOn w:val="Normal"/>
    <w:next w:val="Normal"/>
    <w:link w:val="GlAlntChar"/>
    <w:uiPriority w:val="30"/>
    <w:qFormat/>
    <w:rsid w:val="00333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33A89"/>
    <w:rPr>
      <w:i/>
      <w:iCs/>
      <w:color w:val="0F4761" w:themeColor="accent1" w:themeShade="BF"/>
    </w:rPr>
  </w:style>
  <w:style w:type="character" w:styleId="GlBavuru">
    <w:name w:val="Intense Reference"/>
    <w:basedOn w:val="VarsaylanParagrafYazTipi"/>
    <w:uiPriority w:val="32"/>
    <w:qFormat/>
    <w:rsid w:val="00333A89"/>
    <w:rPr>
      <w:b/>
      <w:bCs/>
      <w:smallCaps/>
      <w:color w:val="0F4761" w:themeColor="accent1" w:themeShade="BF"/>
      <w:spacing w:val="5"/>
    </w:rPr>
  </w:style>
  <w:style w:type="paragraph" w:styleId="stBilgi">
    <w:name w:val="header"/>
    <w:basedOn w:val="Normal"/>
    <w:link w:val="stBilgiChar"/>
    <w:uiPriority w:val="99"/>
    <w:unhideWhenUsed/>
    <w:rsid w:val="00C361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61A3"/>
  </w:style>
  <w:style w:type="paragraph" w:styleId="AltBilgi">
    <w:name w:val="footer"/>
    <w:basedOn w:val="Normal"/>
    <w:link w:val="AltBilgiChar"/>
    <w:uiPriority w:val="99"/>
    <w:unhideWhenUsed/>
    <w:rsid w:val="00C361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2712</Words>
  <Characters>15460</Characters>
  <Application>Microsoft Office Word</Application>
  <DocSecurity>0</DocSecurity>
  <Lines>128</Lines>
  <Paragraphs>36</Paragraphs>
  <ScaleCrop>false</ScaleCrop>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DOGAN</dc:creator>
  <cp:keywords/>
  <dc:description/>
  <cp:lastModifiedBy>İsmail DOGAN</cp:lastModifiedBy>
  <cp:revision>3</cp:revision>
  <dcterms:created xsi:type="dcterms:W3CDTF">2025-08-29T09:47:00Z</dcterms:created>
  <dcterms:modified xsi:type="dcterms:W3CDTF">2025-08-29T09:48:00Z</dcterms:modified>
</cp:coreProperties>
</file>