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B84B" w14:textId="77777777" w:rsidR="00F169AE" w:rsidRDefault="00F169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124B3E" w14:textId="2E5CAEE1" w:rsidR="00F169AE" w:rsidRPr="00F169AE" w:rsidRDefault="00F169AE" w:rsidP="007955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9AE">
        <w:rPr>
          <w:rFonts w:ascii="Times New Roman" w:hAnsi="Times New Roman" w:cs="Times New Roman"/>
          <w:b/>
          <w:bCs/>
          <w:sz w:val="24"/>
          <w:szCs w:val="24"/>
        </w:rPr>
        <w:t>BİYOLOJİK MATERYAL TRANSFER FORMU</w:t>
      </w:r>
    </w:p>
    <w:tbl>
      <w:tblPr>
        <w:tblStyle w:val="TabloKlavuzu"/>
        <w:tblW w:w="10774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55"/>
        <w:gridCol w:w="1842"/>
        <w:gridCol w:w="346"/>
        <w:gridCol w:w="1497"/>
        <w:gridCol w:w="1701"/>
        <w:gridCol w:w="1843"/>
        <w:gridCol w:w="1990"/>
      </w:tblGrid>
      <w:tr w:rsidR="000029C8" w:rsidRPr="000029C8" w14:paraId="33180926" w14:textId="77777777" w:rsidTr="002B5ACB">
        <w:trPr>
          <w:trHeight w:val="454"/>
          <w:jc w:val="center"/>
        </w:trPr>
        <w:tc>
          <w:tcPr>
            <w:tcW w:w="10774" w:type="dxa"/>
            <w:gridSpan w:val="7"/>
            <w:vAlign w:val="center"/>
          </w:tcPr>
          <w:p w14:paraId="4D0A2AA1" w14:textId="1BDB3D9E" w:rsidR="000029C8" w:rsidRDefault="00C477EF" w:rsidP="0045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Araştırmanın</w:t>
            </w:r>
            <w:proofErr w:type="spellEnd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Açık </w:t>
            </w: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F98C706" w14:textId="387FF340" w:rsidR="00F169AE" w:rsidRPr="000029C8" w:rsidRDefault="00F169AE" w:rsidP="00451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C8" w:rsidRPr="000029C8" w14:paraId="1CEC85A2" w14:textId="77777777" w:rsidTr="002B5ACB">
        <w:trPr>
          <w:trHeight w:val="454"/>
          <w:jc w:val="center"/>
        </w:trPr>
        <w:tc>
          <w:tcPr>
            <w:tcW w:w="10774" w:type="dxa"/>
            <w:gridSpan w:val="7"/>
            <w:vAlign w:val="center"/>
          </w:tcPr>
          <w:p w14:paraId="3C23B3B9" w14:textId="77777777" w:rsidR="000029C8" w:rsidRPr="000029C8" w:rsidRDefault="000029C8" w:rsidP="00451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28D89" w14:textId="77777777" w:rsidR="000029C8" w:rsidRPr="000029C8" w:rsidRDefault="000029C8" w:rsidP="00451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C8" w:rsidRPr="000029C8" w14:paraId="682090A0" w14:textId="77777777" w:rsidTr="002B5ACB">
        <w:trPr>
          <w:trHeight w:val="454"/>
          <w:jc w:val="center"/>
        </w:trPr>
        <w:tc>
          <w:tcPr>
            <w:tcW w:w="10774" w:type="dxa"/>
            <w:gridSpan w:val="7"/>
            <w:vAlign w:val="center"/>
          </w:tcPr>
          <w:p w14:paraId="38CF488E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Destekleyicinin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(Varsa):</w:t>
            </w:r>
          </w:p>
          <w:p w14:paraId="031F4BFA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B267DF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47BCBD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9C8" w:rsidRPr="000029C8" w14:paraId="2C5DBA0A" w14:textId="77777777" w:rsidTr="002B5ACB">
        <w:trPr>
          <w:trHeight w:val="454"/>
          <w:jc w:val="center"/>
        </w:trPr>
        <w:tc>
          <w:tcPr>
            <w:tcW w:w="10774" w:type="dxa"/>
            <w:gridSpan w:val="7"/>
            <w:tcBorders>
              <w:bottom w:val="single" w:sz="4" w:space="0" w:color="D9D9D9" w:themeColor="background1" w:themeShade="D9"/>
            </w:tcBorders>
            <w:vAlign w:val="center"/>
          </w:tcPr>
          <w:p w14:paraId="44592E9B" w14:textId="77777777" w:rsidR="000029C8" w:rsidRPr="000029C8" w:rsidRDefault="000029C8" w:rsidP="0045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Araştırmanın</w:t>
            </w:r>
            <w:proofErr w:type="spellEnd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Özeti</w:t>
            </w:r>
            <w:proofErr w:type="spellEnd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029C8" w:rsidRPr="000029C8" w14:paraId="0DDC21EE" w14:textId="77777777" w:rsidTr="002B5ACB">
        <w:trPr>
          <w:trHeight w:val="1772"/>
          <w:jc w:val="center"/>
        </w:trPr>
        <w:tc>
          <w:tcPr>
            <w:tcW w:w="10774" w:type="dxa"/>
            <w:gridSpan w:val="7"/>
            <w:tcBorders>
              <w:bottom w:val="single" w:sz="4" w:space="0" w:color="D9D9D9" w:themeColor="background1" w:themeShade="D9"/>
            </w:tcBorders>
            <w:vAlign w:val="center"/>
          </w:tcPr>
          <w:p w14:paraId="248B44D3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9C8" w:rsidRPr="000029C8" w14:paraId="610E5D78" w14:textId="77777777" w:rsidTr="002B5ACB">
        <w:trPr>
          <w:trHeight w:val="454"/>
          <w:jc w:val="center"/>
        </w:trPr>
        <w:tc>
          <w:tcPr>
            <w:tcW w:w="10774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FC62F39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C8" w:rsidRPr="000029C8" w14:paraId="37A29A6E" w14:textId="77777777" w:rsidTr="002B5ACB">
        <w:trPr>
          <w:trHeight w:val="454"/>
          <w:jc w:val="center"/>
        </w:trPr>
        <w:tc>
          <w:tcPr>
            <w:tcW w:w="10774" w:type="dxa"/>
            <w:gridSpan w:val="7"/>
            <w:tcBorders>
              <w:top w:val="single" w:sz="4" w:space="0" w:color="D9D9D9" w:themeColor="background1" w:themeShade="D9"/>
            </w:tcBorders>
            <w:vAlign w:val="center"/>
          </w:tcPr>
          <w:p w14:paraId="7F24B488" w14:textId="4D703BB4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İşbu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anlaşma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biyolojik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gönderen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araştırmacı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bookmarkStart w:id="0" w:name="Metin1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(GÖNDERİCİ)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yukarıda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açık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bookmarkEnd w:id="0"/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araştırmada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kullanılmak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üzere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çalışmaya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edilecek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………….....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bireyden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gönderilecek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……..……..…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miktarda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biyolojik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, DNA,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doku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vb.) ……………………………………....………..…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adresindeki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…………………………..…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merkeze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göndermeden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önce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ALICI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kurumdan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aşağıdaki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koşulları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etmesi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istenmektedir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2ED3D8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EAD9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Gönderilen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biyolojik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materyaller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yalnızca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yukarıda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yazılı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amaç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da GÖNDERİCİ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kurumun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yeniden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yazılı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iznini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almak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koşulu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ikincil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amaç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kullanılabilir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1B5775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ALICI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biyolojik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GÖNDERİCİ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kurumun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yazılı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izni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olmadan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üçüncü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şahıslara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vermeyecektir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. ALICI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üçüncü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şahıslardan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gelebilecek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istekleri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GÖNDERİCİ’ye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bildirecektir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F6E811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Biyolojik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materyaller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GÖNDERİCİ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bireyin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olmaksızın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ALICI’ya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gönderilecektir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Taşıma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işlemleri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kurallarına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International Air Transport Association (IATA)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standartlarına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yapılacaktır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318F5E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ALICI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biyolojik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materyalleri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Birleşmiş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Milletler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İnsan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Genomu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İnsan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Hakları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Evrensel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Beyannamesine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kullanacaktır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55F604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kapsamında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kurul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onayı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olmadan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hiçbir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biyolojik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transfer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edilemez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Biyolojik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materyaller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ALICI’ya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gönderilmeden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önce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biyolojik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sağlandığı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kişilere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Kurul’un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onayladığı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bilgilendirilmiş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gönüllü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olur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formunun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gönüllüden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alınmış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olması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gerekmektedir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CBF4BB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Bu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anlaşma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gönderilecek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biyolojik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kullanılacağı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düzeyi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gereklilikleri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doğrultusunda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örn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. BSL-2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BSL-3)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işleneceği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bulaşıcı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risk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taşıyabileceği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güvenliği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kurallarına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çalışılması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gerektiği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ALICI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edilmektedir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. Bu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risklerin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ALICI’nın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sorumluluğundadır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Alıcı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kurumun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(BSL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düzeyi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yetkinliklerinin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bulunduğu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beyan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edilmelidir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Biyolojik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sağlayan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GÖNDERİCİ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risklerin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doğrudan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sonuçlarından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sorumlu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değildir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789EBF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GÖNDERİCİ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ALICI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yapılacak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ortak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yayınla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doğabilecek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patent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hakkı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ticari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gelişmelerle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haklarını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başlangıcında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karşılıklı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belirleyecektir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. Bu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kapsamda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doğabilecek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yayın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, patent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veya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fikri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mülkiyet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hakları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detaylı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paylaşım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oranları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ayrıca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hazırlanacak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protokole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bağlanacaktır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Gönderen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alıcı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finansal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ilişki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varsa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başvuru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aşamasında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durum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açıkça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belirtilmelidir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6EE60B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Bu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anlaşma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tarihinden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itibaren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yürürlüğe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girer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süresince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geçerli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olacaktır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Araştırmanın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süresi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uzasa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dahi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anlaşma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toplamda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fazla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5 (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beş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süreyle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geçerlidir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Anlaşma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aşağıdaki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koşullarda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sona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erer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7C19F8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Araştırmanın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sonlanması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durumunda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FD4789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Taraflardan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herhangi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birinin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diğerine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gönderdiği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yazılı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uyarıyı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takiben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30 (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otuz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içinde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anlaşma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kurallarına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uyulmaması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halinde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E4A22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Bu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durumda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, patent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haklarının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ihlali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tehdidi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oluşturan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riskler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hariç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olmak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üzere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sağlayan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tarafın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yazılı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uyarısı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bitirilse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dahi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ALICI’nın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araştırmasının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engellenmemesi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ALICI’nın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talebi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üzerine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GÖNDERİCİ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araştırmacı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fazla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yıla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ek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süre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tanıyabilir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5EBB63" w14:textId="168561CF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ALICI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anlaşmanın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bitiminde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bütün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materyalleri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vermeyi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ortadan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kaldırmayı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bunu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belgelemeyi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eder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47B847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GÖNDERİCİ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biyolojik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toplama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hazırlama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göndermek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ücret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talep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ediyorsa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ücret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burada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belirtilecek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formuna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ayrıntılı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yazılacaktır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nasıl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karşılanacağı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açıklanacaktır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756A9C" w14:textId="34D0A492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GÖNDERİCİ,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biyolojik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amaçlarına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kullanılıp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kullanılmadığını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doğrulamak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amacıyla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makul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önceden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haber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vermek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koşuluyla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ALICI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kurumda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denetim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yapma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hakkına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sahiptir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. ALICI,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denetimin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yürütülmesine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vermeyi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kolaylığı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sağlamayı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eder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87D563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Gönderilen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biyolojik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materyallerden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elde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edilen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veriler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6698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sayılı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Verilerin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Korunması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Kanunu’na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(KVKK)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işlenecek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yalnızca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amacıyla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kullanılacak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güvenli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ortamlarda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saklanacak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yetkisiz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erişime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karşı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korunacak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tamamlandıktan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sonra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mevzuatta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öngörülen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süre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sonunda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güvenli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imha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edilecektir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121454" w14:textId="5F470C45" w:rsidR="00F169AE" w:rsidRPr="000029C8" w:rsidRDefault="000029C8" w:rsidP="00F1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Bu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anlaşmanın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yürümesinde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ALICI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GÖNDERİCİ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amirleri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sorumludur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Anlaşmazlık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halinde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Cumhuriyeti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İzmir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Mahkemeleri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İcra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Daireleri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yetkilidir</w:t>
            </w:r>
            <w:proofErr w:type="spellEnd"/>
            <w:r w:rsidRPr="0000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9C8" w:rsidRPr="000029C8" w14:paraId="7F1E734B" w14:textId="77777777" w:rsidTr="002B5ACB">
        <w:trPr>
          <w:trHeight w:val="567"/>
          <w:jc w:val="center"/>
        </w:trPr>
        <w:tc>
          <w:tcPr>
            <w:tcW w:w="10774" w:type="dxa"/>
            <w:gridSpan w:val="7"/>
            <w:vAlign w:val="center"/>
          </w:tcPr>
          <w:p w14:paraId="2D242909" w14:textId="77777777" w:rsidR="00F169AE" w:rsidRDefault="00F169AE" w:rsidP="00F1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53927" w14:textId="77777777" w:rsidR="000029C8" w:rsidRPr="000029C8" w:rsidRDefault="000029C8" w:rsidP="0045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BİYOLOJİK MATERYALİ GÖNDEREN ARAŞTIRMACI BİLGİSİ</w:t>
            </w:r>
          </w:p>
        </w:tc>
      </w:tr>
      <w:tr w:rsidR="000029C8" w:rsidRPr="000029C8" w14:paraId="1C1179A8" w14:textId="77777777" w:rsidTr="002B5ACB">
        <w:trPr>
          <w:trHeight w:val="567"/>
          <w:jc w:val="center"/>
        </w:trPr>
        <w:tc>
          <w:tcPr>
            <w:tcW w:w="3743" w:type="dxa"/>
            <w:gridSpan w:val="3"/>
            <w:vAlign w:val="center"/>
          </w:tcPr>
          <w:p w14:paraId="4E39F443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  <w:proofErr w:type="spellEnd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7031" w:type="dxa"/>
            <w:gridSpan w:val="4"/>
            <w:vAlign w:val="center"/>
          </w:tcPr>
          <w:p w14:paraId="205C9D76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9C8" w:rsidRPr="000029C8" w14:paraId="0DD8EB0D" w14:textId="77777777" w:rsidTr="002B5ACB">
        <w:trPr>
          <w:trHeight w:val="567"/>
          <w:jc w:val="center"/>
        </w:trPr>
        <w:tc>
          <w:tcPr>
            <w:tcW w:w="3743" w:type="dxa"/>
            <w:gridSpan w:val="3"/>
            <w:vAlign w:val="center"/>
          </w:tcPr>
          <w:p w14:paraId="6574E7F0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Uzmanlık</w:t>
            </w:r>
            <w:proofErr w:type="spellEnd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Alanı</w:t>
            </w:r>
            <w:proofErr w:type="spellEnd"/>
          </w:p>
        </w:tc>
        <w:tc>
          <w:tcPr>
            <w:tcW w:w="7031" w:type="dxa"/>
            <w:gridSpan w:val="4"/>
            <w:vAlign w:val="center"/>
          </w:tcPr>
          <w:p w14:paraId="50F2CE15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9C8" w:rsidRPr="000029C8" w14:paraId="49F16157" w14:textId="77777777" w:rsidTr="002B5ACB">
        <w:trPr>
          <w:trHeight w:val="567"/>
          <w:jc w:val="center"/>
        </w:trPr>
        <w:tc>
          <w:tcPr>
            <w:tcW w:w="3743" w:type="dxa"/>
            <w:gridSpan w:val="3"/>
            <w:vAlign w:val="center"/>
          </w:tcPr>
          <w:p w14:paraId="55BE0905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Kurumu</w:t>
            </w:r>
            <w:proofErr w:type="spellEnd"/>
          </w:p>
        </w:tc>
        <w:tc>
          <w:tcPr>
            <w:tcW w:w="7031" w:type="dxa"/>
            <w:gridSpan w:val="4"/>
            <w:vAlign w:val="center"/>
          </w:tcPr>
          <w:p w14:paraId="766CE09A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9C8" w:rsidRPr="000029C8" w14:paraId="32218D73" w14:textId="77777777" w:rsidTr="002B5ACB">
        <w:trPr>
          <w:trHeight w:val="567"/>
          <w:jc w:val="center"/>
        </w:trPr>
        <w:tc>
          <w:tcPr>
            <w:tcW w:w="3743" w:type="dxa"/>
            <w:gridSpan w:val="3"/>
            <w:vAlign w:val="center"/>
          </w:tcPr>
          <w:p w14:paraId="4C3027F0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7031" w:type="dxa"/>
            <w:gridSpan w:val="4"/>
            <w:vAlign w:val="center"/>
          </w:tcPr>
          <w:p w14:paraId="6E78FA27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9C8" w:rsidRPr="000029C8" w14:paraId="73724313" w14:textId="77777777" w:rsidTr="002B5ACB">
        <w:trPr>
          <w:trHeight w:val="567"/>
          <w:jc w:val="center"/>
        </w:trPr>
        <w:tc>
          <w:tcPr>
            <w:tcW w:w="3743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4C3C422E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7031" w:type="dxa"/>
            <w:gridSpan w:val="4"/>
            <w:tcBorders>
              <w:bottom w:val="single" w:sz="4" w:space="0" w:color="D9D9D9" w:themeColor="background1" w:themeShade="D9"/>
            </w:tcBorders>
            <w:vAlign w:val="center"/>
          </w:tcPr>
          <w:p w14:paraId="3EC3AA8A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9C8" w:rsidRPr="000029C8" w14:paraId="5607228D" w14:textId="77777777" w:rsidTr="002B5ACB">
        <w:trPr>
          <w:trHeight w:val="567"/>
          <w:jc w:val="center"/>
        </w:trPr>
        <w:tc>
          <w:tcPr>
            <w:tcW w:w="3743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01843308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posta</w:t>
            </w:r>
            <w:proofErr w:type="spellEnd"/>
          </w:p>
        </w:tc>
        <w:tc>
          <w:tcPr>
            <w:tcW w:w="7031" w:type="dxa"/>
            <w:gridSpan w:val="4"/>
            <w:tcBorders>
              <w:bottom w:val="single" w:sz="4" w:space="0" w:color="D9D9D9" w:themeColor="background1" w:themeShade="D9"/>
            </w:tcBorders>
            <w:vAlign w:val="center"/>
          </w:tcPr>
          <w:p w14:paraId="47A66896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9C8" w:rsidRPr="000029C8" w14:paraId="62557B6F" w14:textId="77777777" w:rsidTr="002B5ACB">
        <w:trPr>
          <w:trHeight w:val="454"/>
          <w:jc w:val="center"/>
        </w:trPr>
        <w:tc>
          <w:tcPr>
            <w:tcW w:w="10774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C55B47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AB8BC" w14:textId="77777777" w:rsid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21E48" w14:textId="77777777" w:rsidR="0031648F" w:rsidRDefault="0031648F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014A7" w14:textId="77777777" w:rsidR="0031648F" w:rsidRDefault="0031648F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331973" w14:textId="77777777" w:rsidR="0031648F" w:rsidRDefault="0031648F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2B85E" w14:textId="77777777" w:rsidR="0031648F" w:rsidRDefault="0031648F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BADC0" w14:textId="51918FB3" w:rsidR="0031648F" w:rsidRPr="000029C8" w:rsidRDefault="0031648F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9C8" w:rsidRPr="000029C8" w14:paraId="6F146E46" w14:textId="77777777" w:rsidTr="002B5ACB">
        <w:trPr>
          <w:trHeight w:val="567"/>
          <w:jc w:val="center"/>
        </w:trPr>
        <w:tc>
          <w:tcPr>
            <w:tcW w:w="10774" w:type="dxa"/>
            <w:gridSpan w:val="7"/>
            <w:tcBorders>
              <w:top w:val="single" w:sz="4" w:space="0" w:color="D9D9D9" w:themeColor="background1" w:themeShade="D9"/>
            </w:tcBorders>
            <w:vAlign w:val="center"/>
          </w:tcPr>
          <w:p w14:paraId="046D459E" w14:textId="77777777" w:rsidR="000029C8" w:rsidRPr="000029C8" w:rsidRDefault="000029C8" w:rsidP="0045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BİYOLOJİK MATERYALİ ALAN ALICI BİLGİSİ</w:t>
            </w:r>
          </w:p>
        </w:tc>
      </w:tr>
      <w:tr w:rsidR="000029C8" w:rsidRPr="000029C8" w14:paraId="37E12B0F" w14:textId="77777777" w:rsidTr="002B5ACB">
        <w:trPr>
          <w:trHeight w:val="567"/>
          <w:jc w:val="center"/>
        </w:trPr>
        <w:tc>
          <w:tcPr>
            <w:tcW w:w="3743" w:type="dxa"/>
            <w:gridSpan w:val="3"/>
            <w:vAlign w:val="center"/>
          </w:tcPr>
          <w:p w14:paraId="7DD77640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  <w:proofErr w:type="spellEnd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7031" w:type="dxa"/>
            <w:gridSpan w:val="4"/>
            <w:vAlign w:val="center"/>
          </w:tcPr>
          <w:p w14:paraId="4DE07B25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9C8" w:rsidRPr="000029C8" w14:paraId="47621EA6" w14:textId="77777777" w:rsidTr="002B5ACB">
        <w:trPr>
          <w:trHeight w:val="567"/>
          <w:jc w:val="center"/>
        </w:trPr>
        <w:tc>
          <w:tcPr>
            <w:tcW w:w="3743" w:type="dxa"/>
            <w:gridSpan w:val="3"/>
            <w:vAlign w:val="center"/>
          </w:tcPr>
          <w:p w14:paraId="543DB883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Uzmanlık</w:t>
            </w:r>
            <w:proofErr w:type="spellEnd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Alanı</w:t>
            </w:r>
            <w:proofErr w:type="spellEnd"/>
          </w:p>
        </w:tc>
        <w:tc>
          <w:tcPr>
            <w:tcW w:w="7031" w:type="dxa"/>
            <w:gridSpan w:val="4"/>
            <w:vAlign w:val="center"/>
          </w:tcPr>
          <w:p w14:paraId="5EDC602A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9C8" w:rsidRPr="000029C8" w14:paraId="1354B23C" w14:textId="77777777" w:rsidTr="002B5ACB">
        <w:trPr>
          <w:trHeight w:val="567"/>
          <w:jc w:val="center"/>
        </w:trPr>
        <w:tc>
          <w:tcPr>
            <w:tcW w:w="3743" w:type="dxa"/>
            <w:gridSpan w:val="3"/>
            <w:vAlign w:val="center"/>
          </w:tcPr>
          <w:p w14:paraId="1A3E95A8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Kurumu</w:t>
            </w:r>
            <w:proofErr w:type="spellEnd"/>
          </w:p>
        </w:tc>
        <w:tc>
          <w:tcPr>
            <w:tcW w:w="7031" w:type="dxa"/>
            <w:gridSpan w:val="4"/>
            <w:vAlign w:val="center"/>
          </w:tcPr>
          <w:p w14:paraId="6E000F37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9C8" w:rsidRPr="000029C8" w14:paraId="3B713640" w14:textId="77777777" w:rsidTr="002B5ACB">
        <w:trPr>
          <w:trHeight w:val="567"/>
          <w:jc w:val="center"/>
        </w:trPr>
        <w:tc>
          <w:tcPr>
            <w:tcW w:w="3743" w:type="dxa"/>
            <w:gridSpan w:val="3"/>
            <w:vAlign w:val="center"/>
          </w:tcPr>
          <w:p w14:paraId="33466803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7031" w:type="dxa"/>
            <w:gridSpan w:val="4"/>
            <w:vAlign w:val="center"/>
          </w:tcPr>
          <w:p w14:paraId="2F11081E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9C8" w:rsidRPr="000029C8" w14:paraId="64024AE7" w14:textId="77777777" w:rsidTr="002B5ACB">
        <w:trPr>
          <w:trHeight w:val="567"/>
          <w:jc w:val="center"/>
        </w:trPr>
        <w:tc>
          <w:tcPr>
            <w:tcW w:w="3743" w:type="dxa"/>
            <w:gridSpan w:val="3"/>
            <w:vAlign w:val="center"/>
          </w:tcPr>
          <w:p w14:paraId="013AF671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7031" w:type="dxa"/>
            <w:gridSpan w:val="4"/>
            <w:vAlign w:val="center"/>
          </w:tcPr>
          <w:p w14:paraId="4E0D0193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9C8" w:rsidRPr="000029C8" w14:paraId="55691E59" w14:textId="77777777" w:rsidTr="002B5ACB">
        <w:trPr>
          <w:trHeight w:val="567"/>
          <w:jc w:val="center"/>
        </w:trPr>
        <w:tc>
          <w:tcPr>
            <w:tcW w:w="3743" w:type="dxa"/>
            <w:gridSpan w:val="3"/>
            <w:vAlign w:val="center"/>
          </w:tcPr>
          <w:p w14:paraId="470077CE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0029C8">
              <w:rPr>
                <w:rFonts w:ascii="Times New Roman" w:hAnsi="Times New Roman" w:cs="Times New Roman"/>
                <w:b/>
                <w:sz w:val="24"/>
                <w:szCs w:val="24"/>
              </w:rPr>
              <w:t>posta</w:t>
            </w:r>
            <w:proofErr w:type="spellEnd"/>
          </w:p>
        </w:tc>
        <w:tc>
          <w:tcPr>
            <w:tcW w:w="7031" w:type="dxa"/>
            <w:gridSpan w:val="4"/>
            <w:vAlign w:val="center"/>
          </w:tcPr>
          <w:p w14:paraId="7800E549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9C8" w:rsidRPr="000029C8" w14:paraId="0EE3033A" w14:textId="77777777" w:rsidTr="00F169AE">
        <w:trPr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14:paraId="6FAD0A88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5C79F539" w14:textId="77777777" w:rsidR="000029C8" w:rsidRPr="000029C8" w:rsidRDefault="000029C8" w:rsidP="00A21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GÖNDERİCİ</w:t>
            </w:r>
          </w:p>
        </w:tc>
        <w:tc>
          <w:tcPr>
            <w:tcW w:w="1990" w:type="dxa"/>
            <w:vAlign w:val="center"/>
          </w:tcPr>
          <w:p w14:paraId="4DC16240" w14:textId="77777777" w:rsidR="000029C8" w:rsidRPr="000029C8" w:rsidRDefault="000029C8" w:rsidP="00A21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ALICI</w:t>
            </w:r>
          </w:p>
        </w:tc>
      </w:tr>
      <w:tr w:rsidR="000029C8" w:rsidRPr="000029C8" w14:paraId="1411223E" w14:textId="77777777" w:rsidTr="00F169AE">
        <w:trPr>
          <w:trHeight w:val="1120"/>
          <w:jc w:val="center"/>
        </w:trPr>
        <w:tc>
          <w:tcPr>
            <w:tcW w:w="1555" w:type="dxa"/>
            <w:vMerge/>
            <w:vAlign w:val="center"/>
          </w:tcPr>
          <w:p w14:paraId="35FF709C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38FCE6A" w14:textId="77777777" w:rsidR="000029C8" w:rsidRPr="000029C8" w:rsidRDefault="000029C8" w:rsidP="00451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Gönderen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Araştırmacı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5EEE85C2" w14:textId="77777777" w:rsidR="000029C8" w:rsidRPr="000029C8" w:rsidRDefault="000029C8" w:rsidP="00451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Gönderen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Destekleyici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Yetkilisi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veya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Yasal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Temsilcisi</w:t>
            </w:r>
            <w:proofErr w:type="spellEnd"/>
          </w:p>
        </w:tc>
        <w:tc>
          <w:tcPr>
            <w:tcW w:w="1701" w:type="dxa"/>
            <w:vAlign w:val="center"/>
          </w:tcPr>
          <w:p w14:paraId="7F8E47BA" w14:textId="77777777" w:rsidR="000029C8" w:rsidRPr="000029C8" w:rsidRDefault="000029C8" w:rsidP="00451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Şefi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Ana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Bilim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Dalı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1843" w:type="dxa"/>
            <w:vAlign w:val="center"/>
          </w:tcPr>
          <w:p w14:paraId="1062AC20" w14:textId="77777777" w:rsidR="000029C8" w:rsidRPr="000029C8" w:rsidRDefault="000029C8" w:rsidP="00451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Kurum Amiri /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Rektör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veya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Yetkilendirdiği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Makam</w:t>
            </w:r>
          </w:p>
        </w:tc>
        <w:tc>
          <w:tcPr>
            <w:tcW w:w="1990" w:type="dxa"/>
            <w:vAlign w:val="center"/>
          </w:tcPr>
          <w:p w14:paraId="3471FD5A" w14:textId="77777777" w:rsidR="000029C8" w:rsidRPr="000029C8" w:rsidRDefault="000029C8" w:rsidP="00451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Alıcı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Kurum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Yetkilisi</w:t>
            </w:r>
            <w:proofErr w:type="spellEnd"/>
          </w:p>
        </w:tc>
      </w:tr>
      <w:tr w:rsidR="000029C8" w:rsidRPr="000029C8" w14:paraId="6158F68A" w14:textId="77777777" w:rsidTr="00F169AE">
        <w:trPr>
          <w:trHeight w:val="2552"/>
          <w:jc w:val="center"/>
        </w:trPr>
        <w:tc>
          <w:tcPr>
            <w:tcW w:w="1555" w:type="dxa"/>
            <w:vAlign w:val="center"/>
          </w:tcPr>
          <w:p w14:paraId="705B4F01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Yazısı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ile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Görevi</w:t>
            </w:r>
            <w:proofErr w:type="spellEnd"/>
          </w:p>
        </w:tc>
        <w:tc>
          <w:tcPr>
            <w:tcW w:w="1842" w:type="dxa"/>
            <w:vAlign w:val="center"/>
          </w:tcPr>
          <w:p w14:paraId="79F2D930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830224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F61B15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79E625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4B7EFA66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C8" w:rsidRPr="000029C8" w14:paraId="5CA7CB7F" w14:textId="77777777" w:rsidTr="00F169AE">
        <w:trPr>
          <w:trHeight w:val="851"/>
          <w:jc w:val="center"/>
        </w:trPr>
        <w:tc>
          <w:tcPr>
            <w:tcW w:w="1555" w:type="dxa"/>
            <w:vAlign w:val="center"/>
          </w:tcPr>
          <w:p w14:paraId="2CF70405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842" w:type="dxa"/>
            <w:vAlign w:val="center"/>
          </w:tcPr>
          <w:p w14:paraId="1B61FF46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98AD089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6EE2C5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FE98F4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3F3E8602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C8" w:rsidRPr="000029C8" w14:paraId="4564A09B" w14:textId="77777777" w:rsidTr="00F169AE">
        <w:trPr>
          <w:trHeight w:val="851"/>
          <w:jc w:val="center"/>
        </w:trPr>
        <w:tc>
          <w:tcPr>
            <w:tcW w:w="1555" w:type="dxa"/>
            <w:vAlign w:val="center"/>
          </w:tcPr>
          <w:p w14:paraId="2C36BFFF" w14:textId="77777777" w:rsidR="000029C8" w:rsidRPr="000029C8" w:rsidRDefault="000029C8" w:rsidP="00451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1842" w:type="dxa"/>
            <w:vAlign w:val="center"/>
          </w:tcPr>
          <w:p w14:paraId="4B7072F3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3F6C1E6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79646E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0E9B8F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6372C7B7" w14:textId="77777777" w:rsidR="000029C8" w:rsidRPr="000029C8" w:rsidRDefault="000029C8" w:rsidP="00A2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79E55" w14:textId="71D5CF21" w:rsidR="00980720" w:rsidRPr="000029C8" w:rsidRDefault="00980720" w:rsidP="00F169AE">
      <w:pPr>
        <w:rPr>
          <w:rFonts w:ascii="Times New Roman" w:hAnsi="Times New Roman" w:cs="Times New Roman"/>
          <w:sz w:val="24"/>
          <w:szCs w:val="24"/>
        </w:rPr>
      </w:pPr>
    </w:p>
    <w:sectPr w:rsidR="00980720" w:rsidRPr="000029C8" w:rsidSect="0058692B">
      <w:headerReference w:type="default" r:id="rId8"/>
      <w:pgSz w:w="12240" w:h="15840"/>
      <w:pgMar w:top="1440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4191" w14:textId="77777777" w:rsidR="001634D3" w:rsidRDefault="001634D3" w:rsidP="007607C1">
      <w:pPr>
        <w:spacing w:after="0" w:line="240" w:lineRule="auto"/>
      </w:pPr>
      <w:r>
        <w:separator/>
      </w:r>
    </w:p>
  </w:endnote>
  <w:endnote w:type="continuationSeparator" w:id="0">
    <w:p w14:paraId="7B85497C" w14:textId="77777777" w:rsidR="001634D3" w:rsidRDefault="001634D3" w:rsidP="0076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72F6" w14:textId="77777777" w:rsidR="001634D3" w:rsidRDefault="001634D3" w:rsidP="007607C1">
      <w:pPr>
        <w:spacing w:after="0" w:line="240" w:lineRule="auto"/>
      </w:pPr>
      <w:r>
        <w:separator/>
      </w:r>
    </w:p>
  </w:footnote>
  <w:footnote w:type="continuationSeparator" w:id="0">
    <w:p w14:paraId="75D09988" w14:textId="77777777" w:rsidR="001634D3" w:rsidRDefault="001634D3" w:rsidP="0076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6F8" w14:textId="77D1DC5D" w:rsidR="007607C1" w:rsidRPr="00000801" w:rsidRDefault="007607C1" w:rsidP="007607C1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59264" behindDoc="1" locked="0" layoutInCell="1" allowOverlap="1" wp14:anchorId="083A115D" wp14:editId="36B8DFB2">
          <wp:simplePos x="0" y="0"/>
          <wp:positionH relativeFrom="column">
            <wp:posOffset>-962025</wp:posOffset>
          </wp:positionH>
          <wp:positionV relativeFrom="paragraph">
            <wp:posOffset>-139700</wp:posOffset>
          </wp:positionV>
          <wp:extent cx="1009650" cy="10096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60288" behindDoc="1" locked="0" layoutInCell="1" allowOverlap="1" wp14:anchorId="6D6A915E" wp14:editId="2C57BDF5">
          <wp:simplePos x="0" y="0"/>
          <wp:positionH relativeFrom="column">
            <wp:posOffset>5424170</wp:posOffset>
          </wp:positionH>
          <wp:positionV relativeFrom="paragraph">
            <wp:posOffset>-122555</wp:posOffset>
          </wp:positionV>
          <wp:extent cx="1009650" cy="995045"/>
          <wp:effectExtent l="0" t="0" r="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97307" name="Resi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roofErr w:type="spellStart"/>
    <w:r w:rsidRPr="00000801">
      <w:rPr>
        <w:sz w:val="36"/>
        <w:szCs w:val="36"/>
      </w:rPr>
      <w:t>Sağlık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Bilimleri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Üniversitesi</w:t>
    </w:r>
    <w:proofErr w:type="spellEnd"/>
    <w:r w:rsidRPr="00000801">
      <w:rPr>
        <w:sz w:val="36"/>
        <w:szCs w:val="36"/>
      </w:rPr>
      <w:t xml:space="preserve"> </w:t>
    </w:r>
  </w:p>
  <w:p w14:paraId="6EC7A6B1" w14:textId="77777777" w:rsidR="007607C1" w:rsidRPr="00000801" w:rsidRDefault="007607C1" w:rsidP="007607C1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sz w:val="36"/>
        <w:szCs w:val="36"/>
      </w:rPr>
      <w:t xml:space="preserve">İzmir </w:t>
    </w:r>
    <w:proofErr w:type="spellStart"/>
    <w:r w:rsidRPr="00000801">
      <w:rPr>
        <w:sz w:val="36"/>
        <w:szCs w:val="36"/>
      </w:rPr>
      <w:t>Tıp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Fakültesi</w:t>
    </w:r>
    <w:proofErr w:type="spellEnd"/>
    <w:r w:rsidRPr="00000801">
      <w:rPr>
        <w:sz w:val="36"/>
        <w:szCs w:val="36"/>
      </w:rPr>
      <w:t xml:space="preserve"> </w:t>
    </w:r>
  </w:p>
  <w:p w14:paraId="7C52C2E4" w14:textId="77777777" w:rsidR="007607C1" w:rsidRDefault="007607C1" w:rsidP="007607C1">
    <w:pPr>
      <w:pStyle w:val="KonuBal"/>
      <w:tabs>
        <w:tab w:val="left" w:pos="2745"/>
      </w:tabs>
      <w:jc w:val="center"/>
    </w:pPr>
    <w:proofErr w:type="spellStart"/>
    <w:r w:rsidRPr="00000801">
      <w:rPr>
        <w:sz w:val="36"/>
        <w:szCs w:val="36"/>
      </w:rPr>
      <w:t>İlaç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ve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Tıbbi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Cihaz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Dışı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Girişimsel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Araştırmalar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Etik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Kurulu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8156E4"/>
    <w:multiLevelType w:val="multilevel"/>
    <w:tmpl w:val="20DA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4976A97"/>
    <w:multiLevelType w:val="hybridMultilevel"/>
    <w:tmpl w:val="30A21B30"/>
    <w:lvl w:ilvl="0" w:tplc="A3D26258">
      <w:start w:val="1"/>
      <w:numFmt w:val="decimal"/>
      <w:lvlText w:val="%1."/>
      <w:lvlJc w:val="left"/>
      <w:pPr>
        <w:ind w:left="4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30" w:hanging="360"/>
      </w:pPr>
    </w:lvl>
    <w:lvl w:ilvl="2" w:tplc="041F001B" w:tentative="1">
      <w:start w:val="1"/>
      <w:numFmt w:val="lowerRoman"/>
      <w:lvlText w:val="%3."/>
      <w:lvlJc w:val="right"/>
      <w:pPr>
        <w:ind w:left="1850" w:hanging="180"/>
      </w:pPr>
    </w:lvl>
    <w:lvl w:ilvl="3" w:tplc="041F000F" w:tentative="1">
      <w:start w:val="1"/>
      <w:numFmt w:val="decimal"/>
      <w:lvlText w:val="%4."/>
      <w:lvlJc w:val="left"/>
      <w:pPr>
        <w:ind w:left="2570" w:hanging="360"/>
      </w:pPr>
    </w:lvl>
    <w:lvl w:ilvl="4" w:tplc="041F0019" w:tentative="1">
      <w:start w:val="1"/>
      <w:numFmt w:val="lowerLetter"/>
      <w:lvlText w:val="%5."/>
      <w:lvlJc w:val="left"/>
      <w:pPr>
        <w:ind w:left="3290" w:hanging="360"/>
      </w:pPr>
    </w:lvl>
    <w:lvl w:ilvl="5" w:tplc="041F001B" w:tentative="1">
      <w:start w:val="1"/>
      <w:numFmt w:val="lowerRoman"/>
      <w:lvlText w:val="%6."/>
      <w:lvlJc w:val="right"/>
      <w:pPr>
        <w:ind w:left="4010" w:hanging="180"/>
      </w:pPr>
    </w:lvl>
    <w:lvl w:ilvl="6" w:tplc="041F000F" w:tentative="1">
      <w:start w:val="1"/>
      <w:numFmt w:val="decimal"/>
      <w:lvlText w:val="%7."/>
      <w:lvlJc w:val="left"/>
      <w:pPr>
        <w:ind w:left="4730" w:hanging="360"/>
      </w:pPr>
    </w:lvl>
    <w:lvl w:ilvl="7" w:tplc="041F0019" w:tentative="1">
      <w:start w:val="1"/>
      <w:numFmt w:val="lowerLetter"/>
      <w:lvlText w:val="%8."/>
      <w:lvlJc w:val="left"/>
      <w:pPr>
        <w:ind w:left="5450" w:hanging="360"/>
      </w:pPr>
    </w:lvl>
    <w:lvl w:ilvl="8" w:tplc="041F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73780886"/>
    <w:multiLevelType w:val="hybridMultilevel"/>
    <w:tmpl w:val="401CEA74"/>
    <w:lvl w:ilvl="0" w:tplc="E91A3808">
      <w:start w:val="33"/>
      <w:numFmt w:val="decimal"/>
      <w:lvlText w:val="%1."/>
      <w:lvlJc w:val="left"/>
      <w:pPr>
        <w:ind w:left="50" w:hanging="39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E5B62CF4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FD4C0112">
      <w:numFmt w:val="bullet"/>
      <w:lvlText w:val="•"/>
      <w:lvlJc w:val="left"/>
      <w:pPr>
        <w:ind w:left="2646" w:hanging="360"/>
      </w:pPr>
      <w:rPr>
        <w:rFonts w:hint="default"/>
        <w:lang w:val="tr-TR" w:eastAsia="en-US" w:bidi="ar-SA"/>
      </w:rPr>
    </w:lvl>
    <w:lvl w:ilvl="3" w:tplc="8D66FB58">
      <w:numFmt w:val="bullet"/>
      <w:lvlText w:val="•"/>
      <w:lvlJc w:val="left"/>
      <w:pPr>
        <w:ind w:left="4052" w:hanging="360"/>
      </w:pPr>
      <w:rPr>
        <w:rFonts w:hint="default"/>
        <w:lang w:val="tr-TR" w:eastAsia="en-US" w:bidi="ar-SA"/>
      </w:rPr>
    </w:lvl>
    <w:lvl w:ilvl="4" w:tplc="21CCEFF2">
      <w:numFmt w:val="bullet"/>
      <w:lvlText w:val="•"/>
      <w:lvlJc w:val="left"/>
      <w:pPr>
        <w:ind w:left="5458" w:hanging="360"/>
      </w:pPr>
      <w:rPr>
        <w:rFonts w:hint="default"/>
        <w:lang w:val="tr-TR" w:eastAsia="en-US" w:bidi="ar-SA"/>
      </w:rPr>
    </w:lvl>
    <w:lvl w:ilvl="5" w:tplc="E090A51A">
      <w:numFmt w:val="bullet"/>
      <w:lvlText w:val="•"/>
      <w:lvlJc w:val="left"/>
      <w:pPr>
        <w:ind w:left="6864" w:hanging="360"/>
      </w:pPr>
      <w:rPr>
        <w:rFonts w:hint="default"/>
        <w:lang w:val="tr-TR" w:eastAsia="en-US" w:bidi="ar-SA"/>
      </w:rPr>
    </w:lvl>
    <w:lvl w:ilvl="6" w:tplc="4C4A411C">
      <w:numFmt w:val="bullet"/>
      <w:lvlText w:val="•"/>
      <w:lvlJc w:val="left"/>
      <w:pPr>
        <w:ind w:left="8270" w:hanging="360"/>
      </w:pPr>
      <w:rPr>
        <w:rFonts w:hint="default"/>
        <w:lang w:val="tr-TR" w:eastAsia="en-US" w:bidi="ar-SA"/>
      </w:rPr>
    </w:lvl>
    <w:lvl w:ilvl="7" w:tplc="3DA2B894">
      <w:numFmt w:val="bullet"/>
      <w:lvlText w:val="•"/>
      <w:lvlJc w:val="left"/>
      <w:pPr>
        <w:ind w:left="9676" w:hanging="360"/>
      </w:pPr>
      <w:rPr>
        <w:rFonts w:hint="default"/>
        <w:lang w:val="tr-TR" w:eastAsia="en-US" w:bidi="ar-SA"/>
      </w:rPr>
    </w:lvl>
    <w:lvl w:ilvl="8" w:tplc="914C838E">
      <w:numFmt w:val="bullet"/>
      <w:lvlText w:val="•"/>
      <w:lvlJc w:val="left"/>
      <w:pPr>
        <w:ind w:left="11082" w:hanging="360"/>
      </w:pPr>
      <w:rPr>
        <w:rFonts w:hint="default"/>
        <w:lang w:val="tr-TR" w:eastAsia="en-US" w:bidi="ar-SA"/>
      </w:rPr>
    </w:lvl>
  </w:abstractNum>
  <w:num w:numId="1" w16cid:durableId="1799840776">
    <w:abstractNumId w:val="8"/>
  </w:num>
  <w:num w:numId="2" w16cid:durableId="592785850">
    <w:abstractNumId w:val="6"/>
  </w:num>
  <w:num w:numId="3" w16cid:durableId="71660841">
    <w:abstractNumId w:val="5"/>
  </w:num>
  <w:num w:numId="4" w16cid:durableId="1728989472">
    <w:abstractNumId w:val="4"/>
  </w:num>
  <w:num w:numId="5" w16cid:durableId="491603905">
    <w:abstractNumId w:val="7"/>
  </w:num>
  <w:num w:numId="6" w16cid:durableId="635914118">
    <w:abstractNumId w:val="3"/>
  </w:num>
  <w:num w:numId="7" w16cid:durableId="520126086">
    <w:abstractNumId w:val="2"/>
  </w:num>
  <w:num w:numId="8" w16cid:durableId="2131705227">
    <w:abstractNumId w:val="1"/>
  </w:num>
  <w:num w:numId="9" w16cid:durableId="1477331484">
    <w:abstractNumId w:val="0"/>
  </w:num>
  <w:num w:numId="10" w16cid:durableId="1177115257">
    <w:abstractNumId w:val="10"/>
  </w:num>
  <w:num w:numId="11" w16cid:durableId="769667600">
    <w:abstractNumId w:val="11"/>
  </w:num>
  <w:num w:numId="12" w16cid:durableId="777870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801"/>
    <w:rsid w:val="000029C8"/>
    <w:rsid w:val="00033F3C"/>
    <w:rsid w:val="00034616"/>
    <w:rsid w:val="0006063C"/>
    <w:rsid w:val="0015074B"/>
    <w:rsid w:val="001634D3"/>
    <w:rsid w:val="001A71D6"/>
    <w:rsid w:val="001F5921"/>
    <w:rsid w:val="002734EB"/>
    <w:rsid w:val="0029639D"/>
    <w:rsid w:val="002B3E16"/>
    <w:rsid w:val="002B5ACB"/>
    <w:rsid w:val="003024E8"/>
    <w:rsid w:val="0031648F"/>
    <w:rsid w:val="00326F90"/>
    <w:rsid w:val="003D0ACE"/>
    <w:rsid w:val="003F0066"/>
    <w:rsid w:val="00434EA4"/>
    <w:rsid w:val="004517DE"/>
    <w:rsid w:val="0053352E"/>
    <w:rsid w:val="005430C9"/>
    <w:rsid w:val="0058692B"/>
    <w:rsid w:val="005D6E29"/>
    <w:rsid w:val="005E7BC7"/>
    <w:rsid w:val="00717AA2"/>
    <w:rsid w:val="00735D52"/>
    <w:rsid w:val="007607C1"/>
    <w:rsid w:val="00795535"/>
    <w:rsid w:val="007F3958"/>
    <w:rsid w:val="008C05A9"/>
    <w:rsid w:val="008E3575"/>
    <w:rsid w:val="008F7C84"/>
    <w:rsid w:val="00980720"/>
    <w:rsid w:val="009D4853"/>
    <w:rsid w:val="00A120B2"/>
    <w:rsid w:val="00AA1D8D"/>
    <w:rsid w:val="00AB0E93"/>
    <w:rsid w:val="00AE6882"/>
    <w:rsid w:val="00B47730"/>
    <w:rsid w:val="00BB6C8C"/>
    <w:rsid w:val="00C3116A"/>
    <w:rsid w:val="00C477EF"/>
    <w:rsid w:val="00CA013A"/>
    <w:rsid w:val="00CB0664"/>
    <w:rsid w:val="00CC5AB7"/>
    <w:rsid w:val="00D84028"/>
    <w:rsid w:val="00DB149F"/>
    <w:rsid w:val="00E029A8"/>
    <w:rsid w:val="00E4406B"/>
    <w:rsid w:val="00E652C8"/>
    <w:rsid w:val="00E943A2"/>
    <w:rsid w:val="00EC005E"/>
    <w:rsid w:val="00F169AE"/>
    <w:rsid w:val="00F46505"/>
    <w:rsid w:val="00FC693F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7B0B8"/>
  <w14:defaultImageDpi w14:val="300"/>
  <w15:docId w15:val="{C47B2214-C1C9-CB42-B422-954785E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D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434EA4"/>
    <w:pPr>
      <w:widowControl w:val="0"/>
      <w:autoSpaceDE w:val="0"/>
      <w:autoSpaceDN w:val="0"/>
      <w:spacing w:before="141" w:after="0" w:line="240" w:lineRule="auto"/>
      <w:ind w:left="50"/>
      <w:jc w:val="both"/>
    </w:pPr>
    <w:rPr>
      <w:rFonts w:ascii="Arial" w:eastAsia="Arial" w:hAnsi="Arial" w:cs="Arial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34EA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34EA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34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36BCE9-3B4B-4E28-84E5-2C5B8EA6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esra.fidan</cp:lastModifiedBy>
  <cp:revision>2</cp:revision>
  <cp:lastPrinted>2025-08-27T12:13:00Z</cp:lastPrinted>
  <dcterms:created xsi:type="dcterms:W3CDTF">2025-09-08T10:48:00Z</dcterms:created>
  <dcterms:modified xsi:type="dcterms:W3CDTF">2025-09-08T10:48:00Z</dcterms:modified>
</cp:coreProperties>
</file>